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D92AA" w14:textId="1F277A07" w:rsidR="0099112E" w:rsidRDefault="00731161" w:rsidP="0099112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D0C9AD" wp14:editId="382AE627">
                <wp:simplePos x="0" y="0"/>
                <wp:positionH relativeFrom="column">
                  <wp:posOffset>424815</wp:posOffset>
                </wp:positionH>
                <wp:positionV relativeFrom="paragraph">
                  <wp:posOffset>300355</wp:posOffset>
                </wp:positionV>
                <wp:extent cx="5384800" cy="387350"/>
                <wp:effectExtent l="0" t="0" r="6350" b="0"/>
                <wp:wrapSquare wrapText="bothSides"/>
                <wp:docPr id="1100429946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1CE78" w14:textId="0A2B472C" w:rsidR="00731161" w:rsidRPr="00586944" w:rsidRDefault="00731161" w:rsidP="0073116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Questões do Enem sobre Organismos Internacionais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0C9AD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33.45pt;margin-top:23.65pt;width:424pt;height: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" stroked="f">
                <v:textbox>
                  <w:txbxContent>
                    <w:p w14:paraId="7CA1CE78" w14:textId="0A2B472C" w:rsidR="00731161" w:rsidRPr="00586944" w:rsidRDefault="00731161" w:rsidP="0073116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Questões do Enem sobre Organismos Internacionais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03EAD3F" wp14:editId="7B775B6A">
            <wp:simplePos x="0" y="0"/>
            <wp:positionH relativeFrom="margin">
              <wp:posOffset>-635</wp:posOffset>
            </wp:positionH>
            <wp:positionV relativeFrom="paragraph">
              <wp:posOffset>455</wp:posOffset>
            </wp:positionV>
            <wp:extent cx="1098550" cy="888545"/>
            <wp:effectExtent l="0" t="0" r="6350" b="6985"/>
            <wp:wrapSquare wrapText="bothSides"/>
            <wp:docPr id="751915638" name="Imagem 2" descr="Diagram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915638" name="Imagem 2" descr="Diagram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826" cy="888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6DE5B" w14:textId="3F1B1CB4" w:rsidR="0099112E" w:rsidRDefault="0099112E" w:rsidP="0099112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D5DEE7B" w14:textId="2DE075E0" w:rsidR="0099112E" w:rsidRP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b/>
          <w:bCs/>
          <w:sz w:val="24"/>
          <w:szCs w:val="24"/>
        </w:rPr>
        <w:t>1) (Enem-2022) </w:t>
      </w:r>
      <w:r w:rsidRPr="0099112E">
        <w:rPr>
          <w:rFonts w:ascii="Arial" w:hAnsi="Arial" w:cs="Arial"/>
          <w:sz w:val="24"/>
          <w:szCs w:val="24"/>
        </w:rPr>
        <w:t>Brasil e Argentina chegaram a um acordo para a redução em 10% da Tarifa Externa Comum (TEC) do Mercosul. O consenso foi alcançado durante negociação entre o ministro das Relações Exteriores do Brasil e o seu equivalente argentino, no Palácio do Itamaraty, em Brasília, no início do mês de outubro de 2021. A redução da TEC é um antigo desejo do Brasil, que pretende abrir mais sua economia e, com isso, ajudar a controlar a inflação. Já a Argentina temia que a medida pudesse afetar sua produção industrial. O acordo vai abranger uma ampla gama de produtos e ainda será apresentado ao Paraguai e Uruguai, para que seja formalizado. Brasil e Argentina fecham acordo para corte de 10% na tarifa do Mercosul. Disponível em: https://oglobo.globo.com. Acesso em: 8 out. 2021 (adaptado).</w:t>
      </w:r>
    </w:p>
    <w:p w14:paraId="1792E0D8" w14:textId="77777777" w:rsidR="0099112E" w:rsidRP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A necessidade de negociação diplomática para viabilizar o acordo tarifário mencionado é explicada pela seguinte característica do Mercosul:</w:t>
      </w:r>
    </w:p>
    <w:p w14:paraId="78C87131" w14:textId="77777777" w:rsidR="0099112E" w:rsidRPr="0099112E" w:rsidRDefault="0099112E" w:rsidP="0099112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a) Limitação da circulação financeira.</w:t>
      </w:r>
    </w:p>
    <w:p w14:paraId="3CAB63E1" w14:textId="77777777" w:rsidR="0099112E" w:rsidRPr="0099112E" w:rsidRDefault="0099112E" w:rsidP="0099112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b) Padronização da política monetária.</w:t>
      </w:r>
    </w:p>
    <w:p w14:paraId="16238AFA" w14:textId="77777777" w:rsidR="0099112E" w:rsidRPr="0099112E" w:rsidRDefault="0099112E" w:rsidP="0099112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c) Funcionamento da união aduaneira.</w:t>
      </w:r>
    </w:p>
    <w:p w14:paraId="6C97634C" w14:textId="77777777" w:rsidR="0099112E" w:rsidRPr="0099112E" w:rsidRDefault="0099112E" w:rsidP="0099112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d) Dependência da exportação agrícola.</w:t>
      </w:r>
    </w:p>
    <w:p w14:paraId="06C94995" w14:textId="77777777" w:rsidR="0099112E" w:rsidRPr="0099112E" w:rsidRDefault="0099112E" w:rsidP="0099112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e) Equivalência da legislação trabalhista.</w:t>
      </w:r>
    </w:p>
    <w:p w14:paraId="1420E5D7" w14:textId="77777777" w:rsidR="0099112E" w:rsidRDefault="0099112E" w:rsidP="0099112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3188D0D" w14:textId="351F7D91" w:rsidR="0099112E" w:rsidRP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b/>
          <w:bCs/>
          <w:sz w:val="24"/>
          <w:szCs w:val="24"/>
        </w:rPr>
        <w:t>2)(Enem- 2022)</w:t>
      </w:r>
    </w:p>
    <w:p w14:paraId="0FE82735" w14:textId="77777777" w:rsidR="0099112E" w:rsidRP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b/>
          <w:bCs/>
          <w:sz w:val="24"/>
          <w:szCs w:val="24"/>
        </w:rPr>
        <w:t>TEXTO I</w:t>
      </w:r>
      <w:r w:rsidRPr="0099112E">
        <w:rPr>
          <w:rFonts w:ascii="Arial" w:hAnsi="Arial" w:cs="Arial"/>
          <w:sz w:val="24"/>
          <w:szCs w:val="24"/>
        </w:rPr>
        <w:t>: A Marinha identifica, na voz de Thomas Barnett, uma ampla região potencialmente insubmissa ou simplesmente irredutível às normas gerais de funcionamento promovidas pelos Estados Unidos e sancionadas pelo Fundo Monetário Internacional, pela Organização Mundial do Comércio e pelo Banco Mundial. E não necessariamente por sua consciência rebelde, mas sim, em muitos casos, pela insubstancialidade de suas instituições estatais.</w:t>
      </w:r>
    </w:p>
    <w:p w14:paraId="5834DCEA" w14:textId="77777777" w:rsidR="0099112E" w:rsidRP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b/>
          <w:bCs/>
          <w:sz w:val="24"/>
          <w:szCs w:val="24"/>
        </w:rPr>
        <w:t>TEXTO II</w:t>
      </w:r>
    </w:p>
    <w:p w14:paraId="7F0BF3D7" w14:textId="2B519DFA" w:rsidR="0099112E" w:rsidRP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drawing>
          <wp:inline distT="0" distB="0" distL="0" distR="0" wp14:anchorId="38FB7D7C" wp14:editId="12FEF659">
            <wp:extent cx="2476500" cy="2133600"/>
            <wp:effectExtent l="0" t="0" r="0" b="0"/>
            <wp:docPr id="947820380" name="Imagem 6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820380" name="Imagem 6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68275" w14:textId="77777777" w:rsidR="0099112E" w:rsidRP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lastRenderedPageBreak/>
        <w:t>As preocupações do governo estadunidense expressas no texto e no mapa evidenciam uma estratégia para</w:t>
      </w:r>
    </w:p>
    <w:p w14:paraId="11178604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a) compartilhamento de inovações tecnológicas.</w:t>
      </w:r>
    </w:p>
    <w:p w14:paraId="4E7D142E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b) promoção de independência financeira.</w:t>
      </w:r>
    </w:p>
    <w:p w14:paraId="2F7C028D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c) incremento de intercâmbios culturais.</w:t>
      </w:r>
    </w:p>
    <w:p w14:paraId="437AACE5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d) ampliação de influência econômica.</w:t>
      </w:r>
    </w:p>
    <w:p w14:paraId="5447A694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e) preservação de recursos naturais.</w:t>
      </w:r>
    </w:p>
    <w:p w14:paraId="5816B804" w14:textId="77777777" w:rsidR="0099112E" w:rsidRDefault="0099112E" w:rsidP="0099112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BCE705A" w14:textId="395A4BB2" w:rsidR="0099112E" w:rsidRP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b/>
          <w:bCs/>
          <w:sz w:val="24"/>
          <w:szCs w:val="24"/>
        </w:rPr>
        <w:t>3)(Enem-2020) </w:t>
      </w:r>
      <w:r w:rsidRPr="0099112E">
        <w:rPr>
          <w:rFonts w:ascii="Arial" w:hAnsi="Arial" w:cs="Arial"/>
          <w:sz w:val="24"/>
          <w:szCs w:val="24"/>
        </w:rPr>
        <w:t>Declaração de Salamanca – 1994 Acreditamos e proclamamos que: toda criança tem direito fundamental à educação e deve ser dada a oportunidade de atingir e manter o nível adequado de aprendizagem; toda criança possui características, interesses, habilidades e necessidades de aprendizagem que são únicas; sistemas educacionais deveriam ser designados e programas educacionais deveriam ser implementados no sentido de se levar em conta a vasta diversidade de tais características e necessidades. Disponível em: http://portal.mec.gov.br. Acesso em: 4 out. 2015.</w:t>
      </w:r>
    </w:p>
    <w:p w14:paraId="19B91ED0" w14:textId="77777777" w:rsidR="0099112E" w:rsidRP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Como signatário da Declaração citada, o Brasil comprometeu-se com a elaboração de políticas públicas educacionais que contemplem a</w:t>
      </w:r>
    </w:p>
    <w:p w14:paraId="6DDFDD8A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a) criação de privilégios.</w:t>
      </w:r>
    </w:p>
    <w:p w14:paraId="4042D804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b) contenção dos gastos.</w:t>
      </w:r>
    </w:p>
    <w:p w14:paraId="5F65E60C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c) pluralidade dos sujeitos.</w:t>
      </w:r>
    </w:p>
    <w:p w14:paraId="633736F8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d) padronização do currículo.</w:t>
      </w:r>
    </w:p>
    <w:p w14:paraId="5844B56A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e) valorização da meritocracia.</w:t>
      </w:r>
    </w:p>
    <w:p w14:paraId="281B02F2" w14:textId="77777777" w:rsidR="0099112E" w:rsidRDefault="0099112E" w:rsidP="0099112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595A425" w14:textId="77777777" w:rsid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b/>
          <w:bCs/>
          <w:sz w:val="24"/>
          <w:szCs w:val="24"/>
        </w:rPr>
        <w:t>4)(Enem-2019)</w:t>
      </w:r>
      <w:r w:rsidRPr="0099112E">
        <w:rPr>
          <w:rFonts w:ascii="Arial" w:hAnsi="Arial" w:cs="Arial"/>
          <w:sz w:val="24"/>
          <w:szCs w:val="24"/>
        </w:rPr>
        <w:t xml:space="preserve"> Brasil, Alemanha, Japão e Índia pedem reforma do Conselho de Segurança Os representantes do G4 (Brasil, Alemanha, Índia e Japão) reiteraram, em setembro de 2018, a defesa pela ampliação do Conselho de Segurança da Organização das Nações Unidas (ONU) durante reunião em Nova York (Estados Unidos). Em declaração conjunta, de dez itens, os chanceleres destacaram que o órgão, no formato em que está, com apenas cinco membros permanentes e dez rotativos, não reflete o século 21. “A reforma do Conselho de Segurança é essencial para enfrentar os desafios complexos de hoje. Como aspirantes a novos membros permanentes de um conselho reformado, os ministros reiteraram seu compromisso de trabalhar para fortalecer o funcionamento da ONU e da ordem multilateral global, bem como seu apoio às respectivas candidaturas”, afirma a declaração conjunta. </w:t>
      </w:r>
    </w:p>
    <w:p w14:paraId="5EF07DDF" w14:textId="427CB76D" w:rsidR="0099112E" w:rsidRPr="0099112E" w:rsidRDefault="0099112E" w:rsidP="0099112E">
      <w:pPr>
        <w:jc w:val="both"/>
        <w:rPr>
          <w:rFonts w:ascii="Arial" w:hAnsi="Arial" w:cs="Arial"/>
          <w:sz w:val="20"/>
          <w:szCs w:val="20"/>
        </w:rPr>
      </w:pPr>
      <w:r w:rsidRPr="0099112E">
        <w:rPr>
          <w:rFonts w:ascii="Arial" w:hAnsi="Arial" w:cs="Arial"/>
          <w:sz w:val="20"/>
          <w:szCs w:val="20"/>
        </w:rPr>
        <w:t>Disponível em: http://agenciabrasil.ebc.com.br. Acesso em: 7 dez. 2018 (adaptado). Os países mencionados no texto justificam sua pretensão com base na seguinte característica comum:</w:t>
      </w:r>
    </w:p>
    <w:p w14:paraId="4B19B019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a) Extensividade de área territorial.</w:t>
      </w:r>
    </w:p>
    <w:p w14:paraId="338591FD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b) Protagonismo em escala regional.</w:t>
      </w:r>
    </w:p>
    <w:p w14:paraId="263E67C2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c) Investimento em tecnologia militar.</w:t>
      </w:r>
    </w:p>
    <w:p w14:paraId="431F56F1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d) Desenvolvimento de energia nuclear.</w:t>
      </w:r>
    </w:p>
    <w:p w14:paraId="245730BF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e) Disponibilidade de recursos minerais.</w:t>
      </w:r>
    </w:p>
    <w:p w14:paraId="7F1E24F5" w14:textId="77777777" w:rsidR="0099112E" w:rsidRDefault="0099112E" w:rsidP="0099112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1A14FFF" w14:textId="77777777" w:rsid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b/>
          <w:bCs/>
          <w:sz w:val="24"/>
          <w:szCs w:val="24"/>
        </w:rPr>
        <w:t>5)(Enem-2017)</w:t>
      </w:r>
      <w:r w:rsidRPr="0099112E">
        <w:rPr>
          <w:rFonts w:ascii="Arial" w:hAnsi="Arial" w:cs="Arial"/>
          <w:sz w:val="24"/>
          <w:szCs w:val="24"/>
        </w:rPr>
        <w:t xml:space="preserve"> México, Colômbia, Peru e Chile decidiram seguir um caminho mais curto para a integração regional. Os quatro países, em meados de 2012, criaram a Aliança do Pacífico e eliminaram, em 2013, as tarifas aduaneiras de 90% do total de produtos comercializados entre suas fronteiras. </w:t>
      </w:r>
    </w:p>
    <w:p w14:paraId="3FF5D705" w14:textId="0CE56071" w:rsidR="0099112E" w:rsidRPr="0099112E" w:rsidRDefault="0099112E" w:rsidP="0099112E">
      <w:pPr>
        <w:jc w:val="both"/>
        <w:rPr>
          <w:rFonts w:ascii="Arial" w:hAnsi="Arial" w:cs="Arial"/>
          <w:sz w:val="20"/>
          <w:szCs w:val="20"/>
        </w:rPr>
      </w:pPr>
      <w:r w:rsidRPr="0099112E">
        <w:rPr>
          <w:rFonts w:ascii="Arial" w:hAnsi="Arial" w:cs="Arial"/>
          <w:sz w:val="20"/>
          <w:szCs w:val="20"/>
        </w:rPr>
        <w:t xml:space="preserve">Fonte: </w:t>
      </w:r>
      <w:r w:rsidRPr="0099112E">
        <w:rPr>
          <w:rFonts w:ascii="Arial" w:hAnsi="Arial" w:cs="Arial"/>
          <w:sz w:val="20"/>
          <w:szCs w:val="20"/>
        </w:rPr>
        <w:t>OLIVEIRA, E. Aliança do Pacífico se fortalece e Mercosul fica à sua sombra. O Globo, 24 fev. 2013 (adaptado)</w:t>
      </w:r>
    </w:p>
    <w:p w14:paraId="5546A72B" w14:textId="77777777" w:rsidR="0099112E" w:rsidRP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O acordo descrito no texto teve como objetivo econômico para os países membros</w:t>
      </w:r>
    </w:p>
    <w:p w14:paraId="1287F9FC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a) promover a livre circulação de trabalhadores.</w:t>
      </w:r>
    </w:p>
    <w:p w14:paraId="058DF877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b) fomentar a competitividade no mercado externo.</w:t>
      </w:r>
    </w:p>
    <w:p w14:paraId="32819E62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c) restringir investimentos de empresas multinacionais.</w:t>
      </w:r>
    </w:p>
    <w:p w14:paraId="31A5F570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d) adotar medidas cambiais para subsidiar o setor agrícola.</w:t>
      </w:r>
    </w:p>
    <w:p w14:paraId="46C58960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e) reduzir a fiscalização alfandegária para incentivar o consumo.</w:t>
      </w:r>
    </w:p>
    <w:p w14:paraId="2E72CC1D" w14:textId="77777777" w:rsidR="0099112E" w:rsidRDefault="0099112E" w:rsidP="0099112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9B61616" w14:textId="77777777" w:rsid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b/>
          <w:bCs/>
          <w:sz w:val="24"/>
          <w:szCs w:val="24"/>
        </w:rPr>
        <w:t>6)(Enem-2019)</w:t>
      </w:r>
      <w:r w:rsidRPr="0099112E">
        <w:rPr>
          <w:rFonts w:ascii="Arial" w:hAnsi="Arial" w:cs="Arial"/>
          <w:sz w:val="24"/>
          <w:szCs w:val="24"/>
        </w:rPr>
        <w:t xml:space="preserve"> A Declaração Universal dos Direitos Humanos, adotada e proclamada pela Assembleia Geral da ONU na Resolução 217-A, de 10 de dezembro de 1948, foi um acontecimento histórico de grande relevância. Ao afirmar, pela primeira vez em escala planetária, o papel dos direitos humanos na convivência coletiva, pode ser considerada um evento inaugural de uma nova concepção de vida internacional. </w:t>
      </w:r>
    </w:p>
    <w:p w14:paraId="233410DA" w14:textId="7E59BE26" w:rsidR="0099112E" w:rsidRPr="0099112E" w:rsidRDefault="0099112E" w:rsidP="0099112E">
      <w:pPr>
        <w:jc w:val="both"/>
        <w:rPr>
          <w:rFonts w:ascii="Arial" w:hAnsi="Arial" w:cs="Arial"/>
          <w:sz w:val="20"/>
          <w:szCs w:val="20"/>
        </w:rPr>
      </w:pPr>
      <w:r w:rsidRPr="0099112E">
        <w:rPr>
          <w:rFonts w:ascii="Arial" w:hAnsi="Arial" w:cs="Arial"/>
          <w:sz w:val="20"/>
          <w:szCs w:val="20"/>
        </w:rPr>
        <w:t xml:space="preserve">Fonte: </w:t>
      </w:r>
      <w:r w:rsidRPr="0099112E">
        <w:rPr>
          <w:rFonts w:ascii="Arial" w:hAnsi="Arial" w:cs="Arial"/>
          <w:sz w:val="20"/>
          <w:szCs w:val="20"/>
        </w:rPr>
        <w:t>LAFER, C. Declaração Universal dos Direitos Humanos (1948). In: MAGNOLI, D. (Org.). História da paz. São Paulo: Contexto, 2008.</w:t>
      </w:r>
    </w:p>
    <w:p w14:paraId="1F774108" w14:textId="77777777" w:rsidR="0099112E" w:rsidRP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A declaração citada no texto introduziu uma nova concepção nas relações internacionais ao possibilitar a</w:t>
      </w:r>
    </w:p>
    <w:p w14:paraId="3D068E79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a) superação da soberania estatal.</w:t>
      </w:r>
    </w:p>
    <w:p w14:paraId="3F948522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b) defesa dos grupos vulneráveis.</w:t>
      </w:r>
    </w:p>
    <w:p w14:paraId="3FC446A3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c) redução da truculência belicista.</w:t>
      </w:r>
    </w:p>
    <w:p w14:paraId="67D6BA86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d) impunidade dos atos criminosos.</w:t>
      </w:r>
    </w:p>
    <w:p w14:paraId="33BE8251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e) inibição dos choques civilizacionais.</w:t>
      </w:r>
    </w:p>
    <w:p w14:paraId="2B86AE4F" w14:textId="77777777" w:rsidR="0099112E" w:rsidRDefault="0099112E" w:rsidP="0099112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E9A3CE3" w14:textId="7E8766FB" w:rsidR="0099112E" w:rsidRP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b/>
          <w:bCs/>
          <w:sz w:val="24"/>
          <w:szCs w:val="24"/>
        </w:rPr>
        <w:t>7)(Enem-2018) </w:t>
      </w:r>
      <w:r w:rsidRPr="0099112E">
        <w:rPr>
          <w:rFonts w:ascii="Arial" w:hAnsi="Arial" w:cs="Arial"/>
          <w:sz w:val="24"/>
          <w:szCs w:val="24"/>
        </w:rPr>
        <w:t xml:space="preserve">As diferentes formas em que as sociedades se organizam socioeconomicamente visam a atender suas necessidades para a época. O liberalismo, atualmente, assume papel crescente, com os Estados diminuindo sua atuação em várias áreas, inclusive vendendo empresas estatais. Da ideia de interferência estatal na economia, do “Estado de Bem-Estar”, da assistência social ampla e emprego garantido por lei, e, às vezes, à custa de subsídios (na Europa defendido pela Social-Democracia), caminha-se para um Estado enxuto e ágil, onde a manutenção do progresso econômico e uma maior liberdade na conquista do mercado são as formas de assegurar ao cidadão o acesso ao bem-estar. Nem sempre a população concorda. Neste contexto, as eleições gerais na Alemanha, em 1998, poderão levar </w:t>
      </w:r>
      <w:proofErr w:type="spellStart"/>
      <w:r w:rsidRPr="0099112E">
        <w:rPr>
          <w:rFonts w:ascii="Arial" w:hAnsi="Arial" w:cs="Arial"/>
          <w:sz w:val="24"/>
          <w:szCs w:val="24"/>
        </w:rPr>
        <w:t>Helmuth</w:t>
      </w:r>
      <w:proofErr w:type="spellEnd"/>
      <w:r w:rsidRPr="0099112E">
        <w:rPr>
          <w:rFonts w:ascii="Arial" w:hAnsi="Arial" w:cs="Arial"/>
          <w:sz w:val="24"/>
          <w:szCs w:val="24"/>
        </w:rPr>
        <w:t xml:space="preserve"> Kohl, com longa e frutuosa carreira à frente daquele país, a entregar o posto ao social-democrata Gerhard Schroeder. O desemprego na Alemanha atinge seu ponto máximo. A moeda única europeia será o fim do Marco Alemão. A imagem de </w:t>
      </w:r>
      <w:proofErr w:type="spellStart"/>
      <w:r w:rsidRPr="0099112E">
        <w:rPr>
          <w:rFonts w:ascii="Arial" w:hAnsi="Arial" w:cs="Arial"/>
          <w:sz w:val="24"/>
          <w:szCs w:val="24"/>
        </w:rPr>
        <w:t>Helmuth</w:t>
      </w:r>
      <w:proofErr w:type="spellEnd"/>
      <w:r w:rsidRPr="0099112E">
        <w:rPr>
          <w:rFonts w:ascii="Arial" w:hAnsi="Arial" w:cs="Arial"/>
          <w:sz w:val="24"/>
          <w:szCs w:val="24"/>
        </w:rPr>
        <w:t xml:space="preserve"> Kohl começa a desvanecer-se. Conseguirá vencer este ano? Seja como for, ele luta. Mas recebeu um novo e tremendo golpe: o Partido Liberal (FDP) deixou Kohl. O secretário Geral do FDP, Guido </w:t>
      </w:r>
      <w:proofErr w:type="spellStart"/>
      <w:r w:rsidRPr="0099112E">
        <w:rPr>
          <w:rFonts w:ascii="Arial" w:hAnsi="Arial" w:cs="Arial"/>
          <w:sz w:val="24"/>
          <w:szCs w:val="24"/>
        </w:rPr>
        <w:t>Westerwelle</w:t>
      </w:r>
      <w:proofErr w:type="spellEnd"/>
      <w:r w:rsidRPr="0099112E">
        <w:rPr>
          <w:rFonts w:ascii="Arial" w:hAnsi="Arial" w:cs="Arial"/>
          <w:sz w:val="24"/>
          <w:szCs w:val="24"/>
        </w:rPr>
        <w:t xml:space="preserve"> declarou: Começou o fim da era Kohl! A Alemanha ajuda a concretizar o bloco econômico da União Europeia.</w:t>
      </w:r>
    </w:p>
    <w:p w14:paraId="6E1E93AC" w14:textId="77777777" w:rsidR="0099112E" w:rsidRP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A participação neste bloco implica a adoção de um sistema socioeconômico que:</w:t>
      </w:r>
    </w:p>
    <w:p w14:paraId="26142B11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a) dificulta a livre iniciativa econômica, inclusive das grandes empresas na Alemanha.</w:t>
      </w:r>
    </w:p>
    <w:p w14:paraId="6EC4EF22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b) ofereça mercado europeu mais restrito aos produtos e serviços alemães.</w:t>
      </w:r>
    </w:p>
    <w:p w14:paraId="1416E1E4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c) diminua as oportunidades de iniciativa econômica para os alemães em outros países e vice-versa.</w:t>
      </w:r>
    </w:p>
    <w:p w14:paraId="4CE4A917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d) garanta o emprego, na Alemanha, pelo afastamento da concorrência de outros países da própria União Europeia.</w:t>
      </w:r>
    </w:p>
    <w:p w14:paraId="7B37B935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e) por meio da união de esforços com os países da União Europeia, permita à economia alemã concorrer em melhores condições com países de fora da União Europeia.</w:t>
      </w:r>
    </w:p>
    <w:p w14:paraId="5178B6BB" w14:textId="77777777" w:rsidR="0099112E" w:rsidRDefault="0099112E" w:rsidP="0099112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3C92F00" w14:textId="478EEF22" w:rsidR="0099112E" w:rsidRP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b/>
          <w:bCs/>
          <w:sz w:val="24"/>
          <w:szCs w:val="24"/>
        </w:rPr>
        <w:t>8)(Enem-2016)</w:t>
      </w:r>
    </w:p>
    <w:p w14:paraId="781CD981" w14:textId="5FDDE87E" w:rsidR="0099112E" w:rsidRP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drawing>
          <wp:inline distT="0" distB="0" distL="0" distR="0" wp14:anchorId="2309C262" wp14:editId="5A3D7B4A">
            <wp:extent cx="2476500" cy="1619250"/>
            <wp:effectExtent l="0" t="0" r="0" b="0"/>
            <wp:docPr id="128381102" name="Imagem 5" descr="Diagrama, Esquemát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81102" name="Imagem 5" descr="Diagrama, Esquemát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12726" w14:textId="77777777" w:rsidR="0099112E" w:rsidRP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Dentro das atuais redes produtivas, o referido bloco apresenta composição estratégica por se tratar de um conjunto de países com</w:t>
      </w:r>
    </w:p>
    <w:p w14:paraId="43D784E4" w14:textId="77777777" w:rsidR="0099112E" w:rsidRPr="0099112E" w:rsidRDefault="0099112E" w:rsidP="0099112E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elevado padrão social.</w:t>
      </w:r>
    </w:p>
    <w:p w14:paraId="3E11FF7C" w14:textId="77777777" w:rsidR="0099112E" w:rsidRPr="0099112E" w:rsidRDefault="0099112E" w:rsidP="0099112E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sistema monetário integrado.</w:t>
      </w:r>
    </w:p>
    <w:p w14:paraId="53831E06" w14:textId="77777777" w:rsidR="0099112E" w:rsidRPr="0099112E" w:rsidRDefault="0099112E" w:rsidP="0099112E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alto desenvolvimento tecnológico.</w:t>
      </w:r>
    </w:p>
    <w:p w14:paraId="6823AE2F" w14:textId="77777777" w:rsidR="0099112E" w:rsidRPr="0099112E" w:rsidRDefault="0099112E" w:rsidP="0099112E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identidades culturais semelhantes.</w:t>
      </w:r>
    </w:p>
    <w:p w14:paraId="3BDE3164" w14:textId="77777777" w:rsidR="0099112E" w:rsidRPr="0099112E" w:rsidRDefault="0099112E" w:rsidP="0099112E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vantagens locacionais complementares.</w:t>
      </w:r>
    </w:p>
    <w:p w14:paraId="2E5B2116" w14:textId="77777777" w:rsidR="0099112E" w:rsidRDefault="0099112E" w:rsidP="0099112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09D60A0" w14:textId="77777777" w:rsid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b/>
          <w:bCs/>
          <w:sz w:val="24"/>
          <w:szCs w:val="24"/>
        </w:rPr>
        <w:t>9)(Enem-2023)</w:t>
      </w:r>
      <w:r w:rsidRPr="0099112E">
        <w:rPr>
          <w:rFonts w:ascii="Arial" w:hAnsi="Arial" w:cs="Arial"/>
          <w:sz w:val="24"/>
          <w:szCs w:val="24"/>
        </w:rPr>
        <w:t xml:space="preserve"> Produtores rurais europeus são antigos opositores de um grande acordo com o Mercosul. Na visão deles, existe um nítido risco de concorrência desleal, pois, na Europa, é preciso seguir regras mais rígidas de produção, o que encarece o processo. Assim, eles não conseguiriam competir com os preços, por exemplo, da carne brasileira e teriam seus negócios ameaçados. Por outro lado, o setor industrial europeu se mobiliza a favor do acordo, uma vez que as reduções de tarifas no comércio internacional dariam maior acesso ao mercado sul-americano. Um exemplo é o setor automotivo europeu, que prevê maior participação e concorrência nos países do Mercosul caso o acordo siga em frente. </w:t>
      </w:r>
    </w:p>
    <w:p w14:paraId="5619ADE2" w14:textId="6367F757" w:rsidR="0099112E" w:rsidRPr="0099112E" w:rsidRDefault="0099112E" w:rsidP="0099112E">
      <w:pPr>
        <w:jc w:val="both"/>
        <w:rPr>
          <w:rFonts w:ascii="Arial" w:hAnsi="Arial" w:cs="Arial"/>
          <w:sz w:val="20"/>
          <w:szCs w:val="20"/>
        </w:rPr>
      </w:pPr>
      <w:r w:rsidRPr="0099112E">
        <w:rPr>
          <w:rFonts w:ascii="Arial" w:hAnsi="Arial" w:cs="Arial"/>
          <w:sz w:val="20"/>
          <w:szCs w:val="20"/>
        </w:rPr>
        <w:t xml:space="preserve">Fonte: </w:t>
      </w:r>
      <w:r w:rsidRPr="0099112E">
        <w:rPr>
          <w:rFonts w:ascii="Arial" w:hAnsi="Arial" w:cs="Arial"/>
          <w:sz w:val="20"/>
          <w:szCs w:val="20"/>
        </w:rPr>
        <w:t>ROUBICEK, M. Como o risco ambiental afeta o acordo entre Mercosul e União Europeia. Disponível em: www.nexojornal.com.br. Acesso em: 25 out. 2021.</w:t>
      </w:r>
    </w:p>
    <w:p w14:paraId="323087CD" w14:textId="77777777" w:rsidR="0099112E" w:rsidRP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No contexto do acordo citado, os dois grupos econômicos europeus defendem, respectivamente, a</w:t>
      </w:r>
    </w:p>
    <w:p w14:paraId="0AD68F01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a) restrição dos fluxos migratórios e a maior atuação de sindicatos.</w:t>
      </w:r>
    </w:p>
    <w:p w14:paraId="6438D06F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b) ampliação das leis trabalhistas e a plena importação de manufaturados.</w:t>
      </w:r>
    </w:p>
    <w:p w14:paraId="72A11F91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c) proteção das florestas nacionais e a ampla transferência de tecnologias.</w:t>
      </w:r>
    </w:p>
    <w:p w14:paraId="2A44F770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d) manutenção das barreiras fitossanitárias e a livre circulação de mercadorias.</w:t>
      </w:r>
    </w:p>
    <w:p w14:paraId="32D53D9C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e) remoção dos entraves alfandegários e a melhor remuneração de empregados.</w:t>
      </w:r>
    </w:p>
    <w:p w14:paraId="65D62D1E" w14:textId="77777777" w:rsidR="0099112E" w:rsidRDefault="0099112E" w:rsidP="0099112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A94CCF" w14:textId="27F46512" w:rsidR="0099112E" w:rsidRP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b/>
          <w:bCs/>
          <w:sz w:val="24"/>
          <w:szCs w:val="24"/>
        </w:rPr>
        <w:t>10)(Enem-2012)</w:t>
      </w:r>
      <w:r w:rsidRPr="0099112E">
        <w:rPr>
          <w:rFonts w:ascii="Arial" w:hAnsi="Arial" w:cs="Arial"/>
          <w:sz w:val="24"/>
          <w:szCs w:val="24"/>
        </w:rPr>
        <w:t> Na União Europeia, buscava-se coordenar políticas domésticas, primeiro no plano do carvão e do aço, e em seguida em várias áreas, inclusive infraestrutura e políticas sociais. E essa coordenação de ações estatais cresceu de tal maneira, que as políticas sociais e as macropolíticas passaram a ser coordenadas, para, finalmente, a própria política monetária vir a ser também objeto de coordenação com vistas à adoção de uma moeda única.</w:t>
      </w:r>
    </w:p>
    <w:p w14:paraId="2D0A98C3" w14:textId="77777777" w:rsid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 xml:space="preserve">No Mercosul, em vez de haver legislações e instituições comuns e coordenação de políticas domésticas, adotam-se regras claras e confiáveis para garantir o relacionamento econômico entre esses países. </w:t>
      </w:r>
    </w:p>
    <w:p w14:paraId="2EF47173" w14:textId="7BC691DF" w:rsidR="0099112E" w:rsidRPr="0099112E" w:rsidRDefault="0099112E" w:rsidP="0099112E">
      <w:pPr>
        <w:jc w:val="both"/>
        <w:rPr>
          <w:rFonts w:ascii="Arial" w:hAnsi="Arial" w:cs="Arial"/>
          <w:sz w:val="20"/>
          <w:szCs w:val="20"/>
        </w:rPr>
      </w:pPr>
      <w:r w:rsidRPr="0099112E">
        <w:rPr>
          <w:rFonts w:ascii="Arial" w:hAnsi="Arial" w:cs="Arial"/>
          <w:sz w:val="20"/>
          <w:szCs w:val="20"/>
        </w:rPr>
        <w:t xml:space="preserve">Fonte: </w:t>
      </w:r>
      <w:r w:rsidRPr="0099112E">
        <w:rPr>
          <w:rFonts w:ascii="Arial" w:hAnsi="Arial" w:cs="Arial"/>
          <w:sz w:val="20"/>
          <w:szCs w:val="20"/>
        </w:rPr>
        <w:t xml:space="preserve">ALBUQUERQUE, J. A. G. Relações </w:t>
      </w:r>
      <w:proofErr w:type="spellStart"/>
      <w:r w:rsidRPr="0099112E">
        <w:rPr>
          <w:rFonts w:ascii="Arial" w:hAnsi="Arial" w:cs="Arial"/>
          <w:sz w:val="20"/>
          <w:szCs w:val="20"/>
        </w:rPr>
        <w:t>internacionaiscontemporâneas</w:t>
      </w:r>
      <w:proofErr w:type="spellEnd"/>
      <w:r w:rsidRPr="0099112E">
        <w:rPr>
          <w:rFonts w:ascii="Arial" w:hAnsi="Arial" w:cs="Arial"/>
          <w:sz w:val="20"/>
          <w:szCs w:val="20"/>
        </w:rPr>
        <w:t>: a ordem mundial depois da Guerra Fria. Petrópolis: Vozes, 2007 (adaptado).</w:t>
      </w:r>
    </w:p>
    <w:p w14:paraId="72B110DB" w14:textId="77777777" w:rsidR="0099112E" w:rsidRP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Os aspectos destacados no texto que diferenciam os estágios dos processos de integração da União Europeia e do Mercosul são, respectivamente:</w:t>
      </w:r>
    </w:p>
    <w:p w14:paraId="0DE097B9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a) Consolidação da interdependência econômica − aproximação comercial entre os países.</w:t>
      </w:r>
    </w:p>
    <w:p w14:paraId="7C2958EA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b) Conjugação de políticas governamentais − enrijecimento do controle migratório.</w:t>
      </w:r>
    </w:p>
    <w:p w14:paraId="5944F880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c) Criação de inter-relações sociais − articulação de políticas nacionais.</w:t>
      </w:r>
    </w:p>
    <w:p w14:paraId="45FE2B21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d) Composição de estratégias de comércio exterior − homogeneização das políticas cambiais.</w:t>
      </w:r>
    </w:p>
    <w:p w14:paraId="42C968A8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e) Reconfiguração de fronteiras internacionais − padronização das tarifas externas.</w:t>
      </w:r>
    </w:p>
    <w:p w14:paraId="10E9C4A9" w14:textId="77777777" w:rsidR="0099112E" w:rsidRDefault="0099112E" w:rsidP="0099112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80438F5" w14:textId="77777777" w:rsid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b/>
          <w:bCs/>
          <w:sz w:val="24"/>
          <w:szCs w:val="24"/>
        </w:rPr>
        <w:t>11)(Enem 2010)</w:t>
      </w:r>
      <w:r w:rsidRPr="0099112E">
        <w:rPr>
          <w:rFonts w:ascii="Arial" w:hAnsi="Arial" w:cs="Arial"/>
          <w:sz w:val="24"/>
          <w:szCs w:val="24"/>
        </w:rPr>
        <w:t xml:space="preserve"> O G-20 é o grupo que reúne os países do G-7, os mais industrializados do mundo (EUA, Japão, Alemanha, França, Reino Unido, Itália e Canadá), a União Europeia e os principais emergentes (Brasil, Rússia, Índia, China, África do Sul, Arábia Saudita, Argentina, Austrália, Coreia do Sul, Indonésia, México e Turquia). Esse grupo de países vem ganhando força nos fóruns internacionais de decisão e consulta. </w:t>
      </w:r>
    </w:p>
    <w:p w14:paraId="43C0BC70" w14:textId="68ED4103" w:rsidR="0099112E" w:rsidRPr="0099112E" w:rsidRDefault="0099112E" w:rsidP="0099112E">
      <w:pPr>
        <w:rPr>
          <w:rFonts w:ascii="Arial" w:hAnsi="Arial" w:cs="Arial"/>
          <w:sz w:val="20"/>
          <w:szCs w:val="20"/>
        </w:rPr>
      </w:pPr>
      <w:r w:rsidRPr="0099112E">
        <w:rPr>
          <w:rFonts w:ascii="Arial" w:hAnsi="Arial" w:cs="Arial"/>
          <w:sz w:val="20"/>
          <w:szCs w:val="20"/>
        </w:rPr>
        <w:t xml:space="preserve">Fonte: </w:t>
      </w:r>
      <w:r w:rsidRPr="0099112E">
        <w:rPr>
          <w:rFonts w:ascii="Arial" w:hAnsi="Arial" w:cs="Arial"/>
          <w:sz w:val="20"/>
          <w:szCs w:val="20"/>
        </w:rPr>
        <w:t>ALLAN, R. Crise global. Disponível em: http://conteudoclippingmp.planejamento.gov.br. Acesso em: 31 jul. 2010.</w:t>
      </w:r>
    </w:p>
    <w:p w14:paraId="5409F27F" w14:textId="77777777" w:rsidR="0099112E" w:rsidRP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Entre os países emergentes que formam o G-20, estão os chamados BRICS (Brasil, Rússia, Índia, China e África do Sul), termo criado em 2001 para referir-se aos países que</w:t>
      </w:r>
    </w:p>
    <w:p w14:paraId="1CA8DBDD" w14:textId="0734E93A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 xml:space="preserve"> a) apresentavam características econômicas promissoras para as décadas </w:t>
      </w:r>
      <w:r>
        <w:rPr>
          <w:rFonts w:ascii="Arial" w:hAnsi="Arial" w:cs="Arial"/>
          <w:sz w:val="24"/>
          <w:szCs w:val="24"/>
        </w:rPr>
        <w:t xml:space="preserve">  </w:t>
      </w:r>
      <w:r w:rsidRPr="0099112E">
        <w:rPr>
          <w:rFonts w:ascii="Arial" w:hAnsi="Arial" w:cs="Arial"/>
          <w:sz w:val="24"/>
          <w:szCs w:val="24"/>
        </w:rPr>
        <w:t>a partir dos anos 2000.</w:t>
      </w:r>
    </w:p>
    <w:p w14:paraId="15076C14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 b) possuem base tecnológica mais elevada.</w:t>
      </w:r>
    </w:p>
    <w:p w14:paraId="58C9F6FB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 c) apresentavam índices de igualdade social e econômica mais acentuados.</w:t>
      </w:r>
    </w:p>
    <w:p w14:paraId="5714F278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 d) apresentavam diversidade ambiental suficiente para impulsionar a economia global.</w:t>
      </w:r>
    </w:p>
    <w:p w14:paraId="59A6C606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 e) possuem similaridades culturais capazes de alavancar a economia mundial.</w:t>
      </w:r>
    </w:p>
    <w:p w14:paraId="73E31F96" w14:textId="77777777" w:rsidR="0099112E" w:rsidRDefault="0099112E" w:rsidP="0099112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C71E700" w14:textId="77777777" w:rsid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b/>
          <w:bCs/>
          <w:sz w:val="24"/>
          <w:szCs w:val="24"/>
        </w:rPr>
        <w:t>12)(Enem-2019)</w:t>
      </w:r>
      <w:r w:rsidRPr="0099112E">
        <w:rPr>
          <w:rFonts w:ascii="Arial" w:hAnsi="Arial" w:cs="Arial"/>
          <w:sz w:val="24"/>
          <w:szCs w:val="24"/>
        </w:rPr>
        <w:t xml:space="preserve"> Brasil, Alemanha, Japão e Índia pedem reforma do Conselho de Segurança Os representantes do G4 (Brasil, Alemanha, Índia e Japão) reiteraram, em setembro de 2018, a defesa pela ampliação do Conselho de Segurança da Organização das Nações Unidas (ONU) durante reunião em Nova York (Estados Unidos). Em declaração conjunta, de dez itens, os chanceleres destacaram que o órgão, no formato em que está, com apenas cinco membros permanentes e dez rotativos, não reflete o século 21. “A reforma do Conselho de Segurança é essencial para enfrentar os desafios complexos de hoje. Como aspirantes a novos membros permanentes de um conselho reformado, os ministros reiteraram seu compromisso de trabalhar para fortalecer o funcionamento da ONU e da ordem multilateral global, bem como seu apoio às respectivas candidaturas”, afirma a declaração conjunta. </w:t>
      </w:r>
    </w:p>
    <w:p w14:paraId="6E07CB9D" w14:textId="51F1E308" w:rsidR="0099112E" w:rsidRPr="0099112E" w:rsidRDefault="0099112E" w:rsidP="0099112E">
      <w:pPr>
        <w:jc w:val="both"/>
        <w:rPr>
          <w:rFonts w:ascii="Arial" w:hAnsi="Arial" w:cs="Arial"/>
          <w:sz w:val="20"/>
          <w:szCs w:val="20"/>
        </w:rPr>
      </w:pPr>
      <w:r w:rsidRPr="0099112E">
        <w:rPr>
          <w:rFonts w:ascii="Arial" w:hAnsi="Arial" w:cs="Arial"/>
          <w:sz w:val="20"/>
          <w:szCs w:val="20"/>
        </w:rPr>
        <w:t xml:space="preserve">Fonte: </w:t>
      </w:r>
      <w:r w:rsidRPr="0099112E">
        <w:rPr>
          <w:rFonts w:ascii="Arial" w:hAnsi="Arial" w:cs="Arial"/>
          <w:sz w:val="20"/>
          <w:szCs w:val="20"/>
        </w:rPr>
        <w:t>Disponível em: http://agenciabrasil.ebc.com.br. Acesso em: 7 dez. 2018 (adaptado).</w:t>
      </w:r>
    </w:p>
    <w:p w14:paraId="3C1B3468" w14:textId="77777777" w:rsidR="0099112E" w:rsidRP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Os países mencionados no texto justificam sua pretensão com base na seguinte característica comum:</w:t>
      </w:r>
    </w:p>
    <w:p w14:paraId="7AB642AF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 a) Extensividade de área territorial.</w:t>
      </w:r>
    </w:p>
    <w:p w14:paraId="3D2929A9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 b) Protagonismo em escala regional.</w:t>
      </w:r>
    </w:p>
    <w:p w14:paraId="6F301C6C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 c) Investimento em tecnologia militar.</w:t>
      </w:r>
    </w:p>
    <w:p w14:paraId="23BF47E2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 d) Desenvolvimento de energia nuclear.</w:t>
      </w:r>
    </w:p>
    <w:p w14:paraId="7C356B43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 e) Disponibilidade de recursos minerais.</w:t>
      </w:r>
    </w:p>
    <w:p w14:paraId="24A7EEFB" w14:textId="77777777" w:rsidR="0099112E" w:rsidRDefault="0099112E" w:rsidP="0099112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860D217" w14:textId="64943451" w:rsidR="0099112E" w:rsidRP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b/>
          <w:bCs/>
          <w:sz w:val="24"/>
          <w:szCs w:val="24"/>
        </w:rPr>
        <w:t>13)(Enem-2014)</w:t>
      </w:r>
    </w:p>
    <w:p w14:paraId="256893CC" w14:textId="2EF8A54E" w:rsidR="0099112E" w:rsidRP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drawing>
          <wp:inline distT="0" distB="0" distL="0" distR="0" wp14:anchorId="4872F641" wp14:editId="03AFA040">
            <wp:extent cx="2476500" cy="1289050"/>
            <wp:effectExtent l="0" t="0" r="0" b="6350"/>
            <wp:docPr id="1161753370" name="Imagem 4" descr="Desenho de um anima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753370" name="Imagem 4" descr="Desenho de um animal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AD1FA" w14:textId="77777777" w:rsidR="0099112E" w:rsidRP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Na imagem, é ressaltado, em tom mais escuro, um grupo de países que na atualidade possuem características político-econômicas comuns, no sentido de:</w:t>
      </w:r>
    </w:p>
    <w:p w14:paraId="2C5627A2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 a) adotarem o liberalismo político na dinâmica dos seus setores públicos.</w:t>
      </w:r>
    </w:p>
    <w:p w14:paraId="003B3418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 b) constituírem modelos de ações decisórias vinculadas à social-democracia.</w:t>
      </w:r>
    </w:p>
    <w:p w14:paraId="7A4A1FB5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 c) instituírem fóruns de discussão sobre intercâmbio multilateral de economias emergentes.</w:t>
      </w:r>
    </w:p>
    <w:p w14:paraId="08AF5C4B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 d) promoverem a integração representativa dos diversos povos integrantes de seus territórios.</w:t>
      </w:r>
    </w:p>
    <w:p w14:paraId="4A745C92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 e) apresentarem uma frente de desalinhamento político aos polos dominantes do sistema-mundo.</w:t>
      </w:r>
    </w:p>
    <w:p w14:paraId="5E10C1C1" w14:textId="77777777" w:rsidR="0099112E" w:rsidRDefault="0099112E" w:rsidP="0099112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85CB87D" w14:textId="77777777" w:rsid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b/>
          <w:bCs/>
          <w:sz w:val="24"/>
          <w:szCs w:val="24"/>
        </w:rPr>
        <w:t>14)(Enem-2022) </w:t>
      </w:r>
      <w:r w:rsidRPr="0099112E">
        <w:rPr>
          <w:rFonts w:ascii="Arial" w:hAnsi="Arial" w:cs="Arial"/>
          <w:sz w:val="24"/>
          <w:szCs w:val="24"/>
        </w:rPr>
        <w:t xml:space="preserve">Uma nova economia surgiu em escala global no último quartel do século XX. Chamo-a de informacional, global e em rede para identificar suas características fundamentais e diferenciadas e enfatizar sua interligação. É informacional porque depende basicamente de sua capacidade de gerar, processar e aplicar de forma eficiente a informação baseada em conhecimentos. É global porque seus componentes estão organizados em escala global, diretamente ou mediante uma rede de conexões entre agentes econômicos. É rede porque é feita em uma rede global de interação entre redes empresariais. </w:t>
      </w:r>
    </w:p>
    <w:p w14:paraId="6D103723" w14:textId="56BB6FC4" w:rsidR="0099112E" w:rsidRPr="0099112E" w:rsidRDefault="0099112E" w:rsidP="0099112E">
      <w:pPr>
        <w:jc w:val="both"/>
        <w:rPr>
          <w:rFonts w:ascii="Arial" w:hAnsi="Arial" w:cs="Arial"/>
          <w:sz w:val="20"/>
          <w:szCs w:val="20"/>
        </w:rPr>
      </w:pPr>
      <w:r w:rsidRPr="0099112E">
        <w:rPr>
          <w:rFonts w:ascii="Arial" w:hAnsi="Arial" w:cs="Arial"/>
          <w:sz w:val="20"/>
          <w:szCs w:val="20"/>
        </w:rPr>
        <w:t xml:space="preserve">Fonte: </w:t>
      </w:r>
      <w:r w:rsidRPr="0099112E">
        <w:rPr>
          <w:rFonts w:ascii="Arial" w:hAnsi="Arial" w:cs="Arial"/>
          <w:sz w:val="20"/>
          <w:szCs w:val="20"/>
        </w:rPr>
        <w:t>CASTELLS, M. A sociedade em rede — a era da informação: economia, sociedade e cultura. São Paulo: Paz e Terra, 1999 (adaptado).</w:t>
      </w:r>
    </w:p>
    <w:p w14:paraId="22201B59" w14:textId="77777777" w:rsidR="0099112E" w:rsidRP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Qual mudança estrutural é resultado da forma de organização econômica descrita no texto?</w:t>
      </w:r>
    </w:p>
    <w:p w14:paraId="44C5F2E2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a) Fabricação em série.</w:t>
      </w:r>
    </w:p>
    <w:p w14:paraId="7903A1DD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b) Ampliação de estoques.</w:t>
      </w:r>
    </w:p>
    <w:p w14:paraId="1B658C5B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c) Fragilização dos cartéis.</w:t>
      </w:r>
    </w:p>
    <w:p w14:paraId="21C63648" w14:textId="77777777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d) Padronização de mercadorias.</w:t>
      </w:r>
    </w:p>
    <w:p w14:paraId="4C1D3CFA" w14:textId="77777777" w:rsid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e) Desterritorialização da produção</w:t>
      </w:r>
    </w:p>
    <w:p w14:paraId="364DCD08" w14:textId="77777777" w:rsid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0966F9FD" w14:textId="60B3A4B5" w:rsidR="0099112E" w:rsidRPr="0099112E" w:rsidRDefault="0099112E" w:rsidP="0099112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68181E73" w14:textId="088387C0" w:rsidR="004F0882" w:rsidRDefault="004F0882" w:rsidP="0099112E">
      <w:pPr>
        <w:jc w:val="both"/>
        <w:rPr>
          <w:rFonts w:ascii="Arial" w:hAnsi="Arial" w:cs="Arial"/>
          <w:sz w:val="24"/>
          <w:szCs w:val="24"/>
        </w:rPr>
      </w:pPr>
    </w:p>
    <w:p w14:paraId="45A873F0" w14:textId="43E323F4" w:rsidR="0099112E" w:rsidRPr="0099112E" w:rsidRDefault="0099112E" w:rsidP="0099112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9112E">
        <w:rPr>
          <w:rFonts w:ascii="Arial" w:hAnsi="Arial" w:cs="Arial"/>
          <w:b/>
          <w:bCs/>
          <w:sz w:val="24"/>
          <w:szCs w:val="24"/>
        </w:rPr>
        <w:t>Gabarito</w:t>
      </w:r>
    </w:p>
    <w:p w14:paraId="38544BD1" w14:textId="77777777" w:rsidR="0099112E" w:rsidRP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1-C</w:t>
      </w:r>
    </w:p>
    <w:p w14:paraId="14ED5E8E" w14:textId="77777777" w:rsidR="0099112E" w:rsidRP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b/>
          <w:bCs/>
          <w:sz w:val="24"/>
          <w:szCs w:val="24"/>
        </w:rPr>
        <w:t>Comentário:</w:t>
      </w:r>
      <w:r w:rsidRPr="0099112E">
        <w:rPr>
          <w:rFonts w:ascii="Arial" w:hAnsi="Arial" w:cs="Arial"/>
          <w:sz w:val="24"/>
          <w:szCs w:val="24"/>
        </w:rPr>
        <w:t> </w:t>
      </w:r>
      <w:r w:rsidRPr="0099112E">
        <w:rPr>
          <w:rFonts w:ascii="Arial" w:hAnsi="Arial" w:cs="Arial"/>
          <w:i/>
          <w:iCs/>
          <w:sz w:val="24"/>
          <w:szCs w:val="24"/>
        </w:rPr>
        <w:t>O texto discute o Mercosul, um bloco econômico composto por Argentina, Brasil, Paraguai e Uruguai. Esse bloco funciona como uma união aduaneira, o que implica a existência de uma zona de livre comércio nas fronteiras e uma tarifa externa aplicada ao comércio do bloco com outros países.</w:t>
      </w:r>
    </w:p>
    <w:p w14:paraId="715127F4" w14:textId="77777777" w:rsidR="0099112E" w:rsidRP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2-D</w:t>
      </w:r>
    </w:p>
    <w:p w14:paraId="5176A896" w14:textId="77777777" w:rsidR="0099112E" w:rsidRP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b/>
          <w:bCs/>
          <w:sz w:val="24"/>
          <w:szCs w:val="24"/>
        </w:rPr>
        <w:t>Comentário:</w:t>
      </w:r>
      <w:r w:rsidRPr="0099112E">
        <w:rPr>
          <w:rFonts w:ascii="Arial" w:hAnsi="Arial" w:cs="Arial"/>
          <w:sz w:val="24"/>
          <w:szCs w:val="24"/>
        </w:rPr>
        <w:t> </w:t>
      </w:r>
      <w:r w:rsidRPr="0099112E">
        <w:rPr>
          <w:rFonts w:ascii="Arial" w:hAnsi="Arial" w:cs="Arial"/>
          <w:i/>
          <w:iCs/>
          <w:sz w:val="24"/>
          <w:szCs w:val="24"/>
        </w:rPr>
        <w:t>O texto aborda países com instituições enfraquecidas, enquanto um entrave para a influência estadunidense, que é influenciada pelo interesse no petróleo.</w:t>
      </w:r>
    </w:p>
    <w:p w14:paraId="502E6087" w14:textId="77777777" w:rsidR="0099112E" w:rsidRP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3-C</w:t>
      </w:r>
    </w:p>
    <w:p w14:paraId="1E39F350" w14:textId="77777777" w:rsidR="0099112E" w:rsidRP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b/>
          <w:bCs/>
          <w:sz w:val="24"/>
          <w:szCs w:val="24"/>
        </w:rPr>
        <w:t>Comentário:</w:t>
      </w:r>
      <w:r w:rsidRPr="0099112E">
        <w:rPr>
          <w:rFonts w:ascii="Arial" w:hAnsi="Arial" w:cs="Arial"/>
          <w:sz w:val="24"/>
          <w:szCs w:val="24"/>
        </w:rPr>
        <w:t> </w:t>
      </w:r>
      <w:r w:rsidRPr="0099112E">
        <w:rPr>
          <w:rFonts w:ascii="Arial" w:hAnsi="Arial" w:cs="Arial"/>
          <w:i/>
          <w:iCs/>
          <w:sz w:val="24"/>
          <w:szCs w:val="24"/>
        </w:rPr>
        <w:t>A declaração em questão aborda não apenas o direito universal ao acesso à educação, mas também o reconhecimento da diversidade como um aspecto essencial da humanidade. Portanto, é fundamental comprometer-se não apenas com a universalização da educação, mas também com a valorização da pluralidade dos indivíduos que ingressam no sistema educacional.</w:t>
      </w:r>
    </w:p>
    <w:p w14:paraId="3037F67E" w14:textId="77777777" w:rsidR="0099112E" w:rsidRP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4-B</w:t>
      </w:r>
    </w:p>
    <w:p w14:paraId="6DF7FC9D" w14:textId="77777777" w:rsidR="0099112E" w:rsidRP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b/>
          <w:bCs/>
          <w:sz w:val="24"/>
          <w:szCs w:val="24"/>
        </w:rPr>
        <w:t>Comentário:</w:t>
      </w:r>
      <w:r w:rsidRPr="0099112E">
        <w:rPr>
          <w:rFonts w:ascii="Arial" w:hAnsi="Arial" w:cs="Arial"/>
          <w:sz w:val="24"/>
          <w:szCs w:val="24"/>
        </w:rPr>
        <w:t> </w:t>
      </w:r>
      <w:r w:rsidRPr="0099112E">
        <w:rPr>
          <w:rFonts w:ascii="Arial" w:hAnsi="Arial" w:cs="Arial"/>
          <w:i/>
          <w:iCs/>
          <w:sz w:val="24"/>
          <w:szCs w:val="24"/>
        </w:rPr>
        <w:t>O texto relata um pedido do G4 (Brasil, Índia, Alemanha e Japão) por uma ampliação do Conselho de Segurança da ONU, que atualmente não reflete o século XXI. A nova ordem mundial é caracterizada pela multipolaridade econômica.</w:t>
      </w:r>
    </w:p>
    <w:p w14:paraId="5DA2FFC1" w14:textId="77777777" w:rsidR="0099112E" w:rsidRP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5-B</w:t>
      </w:r>
    </w:p>
    <w:p w14:paraId="513A7E88" w14:textId="77777777" w:rsidR="0099112E" w:rsidRP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b/>
          <w:bCs/>
          <w:sz w:val="24"/>
          <w:szCs w:val="24"/>
        </w:rPr>
        <w:t>Comentário: </w:t>
      </w:r>
      <w:r w:rsidRPr="0099112E">
        <w:rPr>
          <w:rFonts w:ascii="Arial" w:hAnsi="Arial" w:cs="Arial"/>
          <w:i/>
          <w:iCs/>
          <w:sz w:val="24"/>
          <w:szCs w:val="24"/>
        </w:rPr>
        <w:t>A Aliança do Pacífico visa promover uma maior integração econômica entre os países, diminuindo os obstáculos fiscais que encarecem ou dificultam a circulação de mercadorias. Com a eliminação desses impedimentos, os países conseguem aumentar sua competitividade no mercado externo, já que aquele que oferecer a produção mais barata terá uma vantagem significativa.</w:t>
      </w:r>
    </w:p>
    <w:p w14:paraId="4C150511" w14:textId="77777777" w:rsidR="0099112E" w:rsidRP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6-B</w:t>
      </w:r>
    </w:p>
    <w:p w14:paraId="5D7038F6" w14:textId="77777777" w:rsidR="0099112E" w:rsidRP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b/>
          <w:bCs/>
          <w:sz w:val="24"/>
          <w:szCs w:val="24"/>
        </w:rPr>
        <w:t>Comentário:</w:t>
      </w:r>
      <w:r w:rsidRPr="0099112E">
        <w:rPr>
          <w:rFonts w:ascii="Arial" w:hAnsi="Arial" w:cs="Arial"/>
          <w:i/>
          <w:iCs/>
          <w:sz w:val="24"/>
          <w:szCs w:val="24"/>
        </w:rPr>
        <w:t xml:space="preserve"> Criada após a Segunda Guerra Mundial e o Holocausto, a Declaração Universal dos Direitos Humanos tem como um de seus principais fundamentos a proteção dos grupos vulneráveis, algo inovador nas relações entre países. Entre seus princípios estão </w:t>
      </w:r>
      <w:proofErr w:type="spellStart"/>
      <w:r w:rsidRPr="0099112E">
        <w:rPr>
          <w:rFonts w:ascii="Arial" w:hAnsi="Arial" w:cs="Arial"/>
          <w:i/>
          <w:iCs/>
          <w:sz w:val="24"/>
          <w:szCs w:val="24"/>
        </w:rPr>
        <w:t>a</w:t>
      </w:r>
      <w:proofErr w:type="spellEnd"/>
      <w:r w:rsidRPr="0099112E">
        <w:rPr>
          <w:rFonts w:ascii="Arial" w:hAnsi="Arial" w:cs="Arial"/>
          <w:i/>
          <w:iCs/>
          <w:sz w:val="24"/>
          <w:szCs w:val="24"/>
        </w:rPr>
        <w:t xml:space="preserve"> autodeterminação dos povos, a condenação da escravidão e a defesa dos grupos minoritários.</w:t>
      </w:r>
    </w:p>
    <w:p w14:paraId="354622C3" w14:textId="77777777" w:rsidR="0099112E" w:rsidRP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7-E</w:t>
      </w:r>
    </w:p>
    <w:p w14:paraId="5EB0742C" w14:textId="77777777" w:rsidR="0099112E" w:rsidRP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b/>
          <w:bCs/>
          <w:sz w:val="24"/>
          <w:szCs w:val="24"/>
        </w:rPr>
        <w:t>Comentário: </w:t>
      </w:r>
      <w:r w:rsidRPr="0099112E">
        <w:rPr>
          <w:rFonts w:ascii="Arial" w:hAnsi="Arial" w:cs="Arial"/>
          <w:i/>
          <w:iCs/>
          <w:sz w:val="24"/>
          <w:szCs w:val="24"/>
        </w:rPr>
        <w:t>O principal propósito dos blocos econômicos é fortalecer o comércio entre os pares e competir melhor com os membros externos.</w:t>
      </w:r>
    </w:p>
    <w:p w14:paraId="326593F4" w14:textId="77777777" w:rsidR="0099112E" w:rsidRP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8-E</w:t>
      </w:r>
    </w:p>
    <w:p w14:paraId="7DE9B48E" w14:textId="77777777" w:rsidR="0099112E" w:rsidRP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b/>
          <w:bCs/>
          <w:sz w:val="24"/>
          <w:szCs w:val="24"/>
        </w:rPr>
        <w:t>Comentário:</w:t>
      </w:r>
      <w:r w:rsidRPr="0099112E">
        <w:rPr>
          <w:rFonts w:ascii="Arial" w:hAnsi="Arial" w:cs="Arial"/>
          <w:sz w:val="24"/>
          <w:szCs w:val="24"/>
        </w:rPr>
        <w:t> </w:t>
      </w:r>
      <w:r w:rsidRPr="0099112E">
        <w:rPr>
          <w:rFonts w:ascii="Arial" w:hAnsi="Arial" w:cs="Arial"/>
          <w:i/>
          <w:iCs/>
          <w:sz w:val="24"/>
          <w:szCs w:val="24"/>
        </w:rPr>
        <w:t xml:space="preserve">A parceria </w:t>
      </w:r>
      <w:proofErr w:type="spellStart"/>
      <w:r w:rsidRPr="0099112E">
        <w:rPr>
          <w:rFonts w:ascii="Arial" w:hAnsi="Arial" w:cs="Arial"/>
          <w:i/>
          <w:iCs/>
          <w:sz w:val="24"/>
          <w:szCs w:val="24"/>
        </w:rPr>
        <w:t>transpacífica</w:t>
      </w:r>
      <w:proofErr w:type="spellEnd"/>
      <w:r w:rsidRPr="0099112E">
        <w:rPr>
          <w:rFonts w:ascii="Arial" w:hAnsi="Arial" w:cs="Arial"/>
          <w:i/>
          <w:iCs/>
          <w:sz w:val="24"/>
          <w:szCs w:val="24"/>
        </w:rPr>
        <w:t xml:space="preserve"> é um acordo comercial estabelecido entre doze países banhados pelo Oceano Pacífico, com o objetivo principal de promover o crescimento econômico e, nesse sentido, a composição estratégica leva em consideração as vantagens locacionais dos países membros.</w:t>
      </w:r>
    </w:p>
    <w:p w14:paraId="09C09F47" w14:textId="77777777" w:rsidR="0099112E" w:rsidRP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9-D</w:t>
      </w:r>
    </w:p>
    <w:p w14:paraId="3DAB2BA7" w14:textId="77777777" w:rsidR="0099112E" w:rsidRP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b/>
          <w:bCs/>
          <w:sz w:val="24"/>
          <w:szCs w:val="24"/>
        </w:rPr>
        <w:t> Comentário:</w:t>
      </w:r>
      <w:r w:rsidRPr="0099112E">
        <w:rPr>
          <w:rFonts w:ascii="Arial" w:hAnsi="Arial" w:cs="Arial"/>
          <w:sz w:val="24"/>
          <w:szCs w:val="24"/>
        </w:rPr>
        <w:t> </w:t>
      </w:r>
      <w:r w:rsidRPr="0099112E">
        <w:rPr>
          <w:rFonts w:ascii="Arial" w:hAnsi="Arial" w:cs="Arial"/>
          <w:i/>
          <w:iCs/>
          <w:sz w:val="24"/>
          <w:szCs w:val="24"/>
        </w:rPr>
        <w:t>O texto evidencia a posição contraditória de dois setores econômicos na Europa em relação ao acordo entre a União Europeia e o Mercosul. Os agricultores europeus se opõem ao acordo, temendo perder mercado para os produtos agrícolas do Brasil e da Argentina. Em contrapartida, os setores industriais veem a livre circulação de mercadorias e a isenção de tarifas alfandegárias como uma oportunidade vantajosa para acessar o grande mercado sul-americano.</w:t>
      </w:r>
    </w:p>
    <w:p w14:paraId="6AB67CBB" w14:textId="77777777" w:rsidR="0099112E" w:rsidRP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i/>
          <w:iCs/>
          <w:sz w:val="24"/>
          <w:szCs w:val="24"/>
        </w:rPr>
        <w:t> 10-A</w:t>
      </w:r>
    </w:p>
    <w:p w14:paraId="75DC14AE" w14:textId="77777777" w:rsidR="0099112E" w:rsidRP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b/>
          <w:bCs/>
          <w:sz w:val="24"/>
          <w:szCs w:val="24"/>
        </w:rPr>
        <w:t>Comentário:</w:t>
      </w:r>
      <w:r w:rsidRPr="0099112E">
        <w:rPr>
          <w:rFonts w:ascii="Arial" w:hAnsi="Arial" w:cs="Arial"/>
          <w:sz w:val="24"/>
          <w:szCs w:val="24"/>
        </w:rPr>
        <w:t> </w:t>
      </w:r>
      <w:r w:rsidRPr="0099112E">
        <w:rPr>
          <w:rFonts w:ascii="Arial" w:hAnsi="Arial" w:cs="Arial"/>
          <w:i/>
          <w:iCs/>
          <w:sz w:val="24"/>
          <w:szCs w:val="24"/>
        </w:rPr>
        <w:t>No contexto da globalização, os países buscam criar agrupamentos que promovam as trocas entre si, os quais podem ter diferentes formatos e níveis de relacionamento. Assim, a questão discute a formação de um bloco econômico, a União Europeia, e de uma organização intergovernamental, o Mercosul. A União Europeia está ligada à consolidação da interdependência econômica, exemplificada pela criação da moeda única, o euro, enquanto o Mercosul está voltado para a aproximação comercial entre os países membros.</w:t>
      </w:r>
    </w:p>
    <w:p w14:paraId="171255FE" w14:textId="77777777" w:rsidR="0099112E" w:rsidRP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11-A</w:t>
      </w:r>
    </w:p>
    <w:p w14:paraId="3579B1A3" w14:textId="77777777" w:rsidR="0099112E" w:rsidRP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b/>
          <w:bCs/>
          <w:sz w:val="24"/>
          <w:szCs w:val="24"/>
        </w:rPr>
        <w:t>Comentário:</w:t>
      </w:r>
      <w:r w:rsidRPr="0099112E">
        <w:rPr>
          <w:rFonts w:ascii="Arial" w:hAnsi="Arial" w:cs="Arial"/>
          <w:sz w:val="24"/>
          <w:szCs w:val="24"/>
        </w:rPr>
        <w:t> </w:t>
      </w:r>
      <w:r w:rsidRPr="0099112E">
        <w:rPr>
          <w:rFonts w:ascii="Arial" w:hAnsi="Arial" w:cs="Arial"/>
          <w:i/>
          <w:iCs/>
          <w:sz w:val="24"/>
          <w:szCs w:val="24"/>
        </w:rPr>
        <w:t xml:space="preserve">Embora a questão mencione o G-20, ela se concentra especificamente no bloco econômico dos BRICS. Esses países emergentes são caracterizados por uma grande concentração de renda, evidenciando uma significativa disparidade social entre a pobreza extrema e uma elite </w:t>
      </w:r>
      <w:proofErr w:type="gramStart"/>
      <w:r w:rsidRPr="0099112E">
        <w:rPr>
          <w:rFonts w:ascii="Arial" w:hAnsi="Arial" w:cs="Arial"/>
          <w:i/>
          <w:iCs/>
          <w:sz w:val="24"/>
          <w:szCs w:val="24"/>
        </w:rPr>
        <w:t>bem posicionada</w:t>
      </w:r>
      <w:proofErr w:type="gramEnd"/>
      <w:r w:rsidRPr="0099112E">
        <w:rPr>
          <w:rFonts w:ascii="Arial" w:hAnsi="Arial" w:cs="Arial"/>
          <w:i/>
          <w:iCs/>
          <w:sz w:val="24"/>
          <w:szCs w:val="24"/>
        </w:rPr>
        <w:t xml:space="preserve">. Apesar de não apresentarem os melhores índices de IDH, possuem boa produtividade e taxas de crescimento consideráveis. O grupo conta com um banco de investimentos próprio, o New </w:t>
      </w:r>
      <w:proofErr w:type="spellStart"/>
      <w:r w:rsidRPr="0099112E">
        <w:rPr>
          <w:rFonts w:ascii="Arial" w:hAnsi="Arial" w:cs="Arial"/>
          <w:i/>
          <w:iCs/>
          <w:sz w:val="24"/>
          <w:szCs w:val="24"/>
        </w:rPr>
        <w:t>Development</w:t>
      </w:r>
      <w:proofErr w:type="spellEnd"/>
      <w:r w:rsidRPr="0099112E">
        <w:rPr>
          <w:rFonts w:ascii="Arial" w:hAnsi="Arial" w:cs="Arial"/>
          <w:i/>
          <w:iCs/>
          <w:sz w:val="24"/>
          <w:szCs w:val="24"/>
        </w:rPr>
        <w:t xml:space="preserve"> Bank (NDB), que busca se tornar uma alternativa de investimento em períodos de fragilidade dos países desenvolvidos.</w:t>
      </w:r>
    </w:p>
    <w:p w14:paraId="18A0952E" w14:textId="77777777" w:rsidR="0099112E" w:rsidRP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12-B</w:t>
      </w:r>
    </w:p>
    <w:p w14:paraId="6387CCD1" w14:textId="77777777" w:rsidR="0099112E" w:rsidRP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b/>
          <w:bCs/>
          <w:sz w:val="24"/>
          <w:szCs w:val="24"/>
        </w:rPr>
        <w:t>Comentário:</w:t>
      </w:r>
      <w:r w:rsidRPr="0099112E">
        <w:rPr>
          <w:rFonts w:ascii="Arial" w:hAnsi="Arial" w:cs="Arial"/>
          <w:sz w:val="24"/>
          <w:szCs w:val="24"/>
        </w:rPr>
        <w:t> </w:t>
      </w:r>
      <w:r w:rsidRPr="0099112E">
        <w:rPr>
          <w:rFonts w:ascii="Arial" w:hAnsi="Arial" w:cs="Arial"/>
          <w:i/>
          <w:iCs/>
          <w:sz w:val="24"/>
          <w:szCs w:val="24"/>
        </w:rPr>
        <w:t xml:space="preserve">Brasil, Alemanha, Japão e Índia solicitam reforma do Conselho de </w:t>
      </w:r>
      <w:proofErr w:type="spellStart"/>
      <w:r w:rsidRPr="0099112E">
        <w:rPr>
          <w:rFonts w:ascii="Arial" w:hAnsi="Arial" w:cs="Arial"/>
          <w:i/>
          <w:iCs/>
          <w:sz w:val="24"/>
          <w:szCs w:val="24"/>
        </w:rPr>
        <w:t>Segurança.Em</w:t>
      </w:r>
      <w:proofErr w:type="spellEnd"/>
      <w:r w:rsidRPr="0099112E">
        <w:rPr>
          <w:rFonts w:ascii="Arial" w:hAnsi="Arial" w:cs="Arial"/>
          <w:i/>
          <w:iCs/>
          <w:sz w:val="24"/>
          <w:szCs w:val="24"/>
        </w:rPr>
        <w:t xml:space="preserve"> setembro de 2018, os representantes do G4 (Brasil, Alemanha, Índia e Japão) reafirmaram seu apoio à ampliação do Conselho de Segurança da Organização das Nações Unidas (ONU) durante uma reunião em Nova York.</w:t>
      </w:r>
    </w:p>
    <w:p w14:paraId="6BC95639" w14:textId="77777777" w:rsidR="0099112E" w:rsidRP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13-C</w:t>
      </w:r>
    </w:p>
    <w:p w14:paraId="25FDC2EB" w14:textId="77777777" w:rsidR="0099112E" w:rsidRP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b/>
          <w:bCs/>
          <w:sz w:val="24"/>
          <w:szCs w:val="24"/>
        </w:rPr>
        <w:t>Comentário: </w:t>
      </w:r>
      <w:r w:rsidRPr="0099112E">
        <w:rPr>
          <w:rFonts w:ascii="Arial" w:hAnsi="Arial" w:cs="Arial"/>
          <w:i/>
          <w:iCs/>
          <w:sz w:val="24"/>
          <w:szCs w:val="24"/>
        </w:rPr>
        <w:t>Para abordar a questão, é fundamental entender que os países mencionados são Brasil, Rússia, Índia, China e África do Sul, que compõem o BRICS. Este grupo é formado por nações com economias emergentes que se reúnem periodicamente em fóruns para estabelecer metas e firmar acordos entre si.</w:t>
      </w:r>
    </w:p>
    <w:p w14:paraId="132B6EBE" w14:textId="77777777" w:rsidR="0099112E" w:rsidRP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sz w:val="24"/>
          <w:szCs w:val="24"/>
        </w:rPr>
        <w:t>14-D</w:t>
      </w:r>
    </w:p>
    <w:p w14:paraId="04441970" w14:textId="77777777" w:rsidR="0099112E" w:rsidRP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  <w:r w:rsidRPr="0099112E">
        <w:rPr>
          <w:rFonts w:ascii="Arial" w:hAnsi="Arial" w:cs="Arial"/>
          <w:b/>
          <w:bCs/>
          <w:sz w:val="24"/>
          <w:szCs w:val="24"/>
        </w:rPr>
        <w:t>Comentário:</w:t>
      </w:r>
      <w:r w:rsidRPr="0099112E">
        <w:rPr>
          <w:rFonts w:ascii="Arial" w:hAnsi="Arial" w:cs="Arial"/>
          <w:sz w:val="24"/>
          <w:szCs w:val="24"/>
        </w:rPr>
        <w:t> </w:t>
      </w:r>
      <w:r w:rsidRPr="0099112E">
        <w:rPr>
          <w:rFonts w:ascii="Arial" w:hAnsi="Arial" w:cs="Arial"/>
          <w:i/>
          <w:iCs/>
          <w:sz w:val="24"/>
          <w:szCs w:val="24"/>
        </w:rPr>
        <w:t>Para tratar da questão, é essencial reconhecer que os países citados são Brasil, Rússia, Índia, China e África do Sul, que juntos formam o BRICS. Este grupo é constituído por nações com economias emergentes que se reúnem regularmente em fóruns para definir metas e firmar acordos mútuos.</w:t>
      </w:r>
    </w:p>
    <w:p w14:paraId="6A69FAF8" w14:textId="77777777" w:rsidR="0099112E" w:rsidRDefault="0099112E" w:rsidP="0099112E">
      <w:pPr>
        <w:jc w:val="both"/>
        <w:rPr>
          <w:rFonts w:ascii="Arial" w:hAnsi="Arial" w:cs="Arial"/>
          <w:sz w:val="24"/>
          <w:szCs w:val="24"/>
        </w:rPr>
      </w:pPr>
    </w:p>
    <w:p w14:paraId="1F79C37E" w14:textId="77777777" w:rsidR="00731161" w:rsidRDefault="00731161" w:rsidP="0099112E">
      <w:pPr>
        <w:jc w:val="both"/>
        <w:rPr>
          <w:rFonts w:ascii="Arial" w:hAnsi="Arial" w:cs="Arial"/>
          <w:sz w:val="24"/>
          <w:szCs w:val="24"/>
        </w:rPr>
      </w:pPr>
    </w:p>
    <w:p w14:paraId="6619AE85" w14:textId="02F8FF65" w:rsidR="00731161" w:rsidRPr="00731161" w:rsidRDefault="00731161" w:rsidP="0073116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31161">
        <w:rPr>
          <w:rFonts w:ascii="Arial" w:hAnsi="Arial" w:cs="Arial"/>
          <w:b/>
          <w:bCs/>
          <w:sz w:val="24"/>
          <w:szCs w:val="24"/>
        </w:rPr>
        <w:t>www.planetageo.com.br</w:t>
      </w:r>
    </w:p>
    <w:sectPr w:rsidR="00731161" w:rsidRPr="007311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E43C8"/>
    <w:multiLevelType w:val="multilevel"/>
    <w:tmpl w:val="223C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4A0B24"/>
    <w:multiLevelType w:val="multilevel"/>
    <w:tmpl w:val="1D66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C24778"/>
    <w:multiLevelType w:val="multilevel"/>
    <w:tmpl w:val="175C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9C3001"/>
    <w:multiLevelType w:val="multilevel"/>
    <w:tmpl w:val="B0E4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27673E"/>
    <w:multiLevelType w:val="hybridMultilevel"/>
    <w:tmpl w:val="0DD88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53EBA"/>
    <w:multiLevelType w:val="multilevel"/>
    <w:tmpl w:val="730036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B4161"/>
    <w:multiLevelType w:val="multilevel"/>
    <w:tmpl w:val="D76A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2B09D8"/>
    <w:multiLevelType w:val="hybridMultilevel"/>
    <w:tmpl w:val="9E82709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6E7D66"/>
    <w:multiLevelType w:val="multilevel"/>
    <w:tmpl w:val="F63C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FC2410"/>
    <w:multiLevelType w:val="multilevel"/>
    <w:tmpl w:val="5F24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A83A28"/>
    <w:multiLevelType w:val="multilevel"/>
    <w:tmpl w:val="8FC01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3E7F90"/>
    <w:multiLevelType w:val="multilevel"/>
    <w:tmpl w:val="FCAA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B939AC"/>
    <w:multiLevelType w:val="multilevel"/>
    <w:tmpl w:val="69D6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7E81CEF"/>
    <w:multiLevelType w:val="multilevel"/>
    <w:tmpl w:val="5D7C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26E5BE6"/>
    <w:multiLevelType w:val="multilevel"/>
    <w:tmpl w:val="81AA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67B4AB9"/>
    <w:multiLevelType w:val="multilevel"/>
    <w:tmpl w:val="CCC4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2FB53B3"/>
    <w:multiLevelType w:val="multilevel"/>
    <w:tmpl w:val="715E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87376045">
    <w:abstractNumId w:val="0"/>
  </w:num>
  <w:num w:numId="2" w16cid:durableId="768038153">
    <w:abstractNumId w:val="10"/>
  </w:num>
  <w:num w:numId="3" w16cid:durableId="546533585">
    <w:abstractNumId w:val="2"/>
  </w:num>
  <w:num w:numId="4" w16cid:durableId="507329341">
    <w:abstractNumId w:val="11"/>
  </w:num>
  <w:num w:numId="5" w16cid:durableId="428279942">
    <w:abstractNumId w:val="12"/>
  </w:num>
  <w:num w:numId="6" w16cid:durableId="279457984">
    <w:abstractNumId w:val="8"/>
  </w:num>
  <w:num w:numId="7" w16cid:durableId="657148496">
    <w:abstractNumId w:val="16"/>
  </w:num>
  <w:num w:numId="8" w16cid:durableId="1192916698">
    <w:abstractNumId w:val="5"/>
  </w:num>
  <w:num w:numId="9" w16cid:durableId="1433090698">
    <w:abstractNumId w:val="14"/>
  </w:num>
  <w:num w:numId="10" w16cid:durableId="1788890779">
    <w:abstractNumId w:val="1"/>
  </w:num>
  <w:num w:numId="11" w16cid:durableId="2053382880">
    <w:abstractNumId w:val="15"/>
  </w:num>
  <w:num w:numId="12" w16cid:durableId="1085687769">
    <w:abstractNumId w:val="6"/>
  </w:num>
  <w:num w:numId="13" w16cid:durableId="979922876">
    <w:abstractNumId w:val="3"/>
  </w:num>
  <w:num w:numId="14" w16cid:durableId="981693305">
    <w:abstractNumId w:val="13"/>
  </w:num>
  <w:num w:numId="15" w16cid:durableId="1382754490">
    <w:abstractNumId w:val="4"/>
  </w:num>
  <w:num w:numId="16" w16cid:durableId="893275038">
    <w:abstractNumId w:val="9"/>
  </w:num>
  <w:num w:numId="17" w16cid:durableId="5051738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58"/>
    <w:rsid w:val="000378B1"/>
    <w:rsid w:val="004F0882"/>
    <w:rsid w:val="00731161"/>
    <w:rsid w:val="0099112E"/>
    <w:rsid w:val="00DB7773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56DF"/>
  <w15:chartTrackingRefBased/>
  <w15:docId w15:val="{9647C772-5AAD-45A5-A0E1-73B3A3CB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F44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F4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44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44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F44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F44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F44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F44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F44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F44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F44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44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445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F445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F44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F445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F44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F44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F44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F4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F44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F4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F4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F445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F445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F445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F44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F445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F44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5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3012</Words>
  <Characters>16271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Miné</dc:creator>
  <cp:keywords/>
  <dc:description/>
  <cp:lastModifiedBy>Gisele Miné</cp:lastModifiedBy>
  <cp:revision>1</cp:revision>
  <dcterms:created xsi:type="dcterms:W3CDTF">2025-01-12T21:08:00Z</dcterms:created>
  <dcterms:modified xsi:type="dcterms:W3CDTF">2025-01-13T00:16:00Z</dcterms:modified>
</cp:coreProperties>
</file>