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2F22" w14:textId="3DFC2369" w:rsidR="001F1B5D" w:rsidRDefault="00FA7A5B" w:rsidP="00D43CEB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</w:pP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(Enem-</w:t>
      </w:r>
      <w:r w:rsidR="00B24DB7"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2022</w:t>
      </w: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)</w:t>
      </w:r>
      <w:r w:rsidRPr="00D43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B24DB7">
        <w:t xml:space="preserve">Brasil e Argentina chegaram a um acordo para a redução em 10% da Tarifa Externa Comum (TEC) do Mercosul. O consenso foi alcançado durante negociação entre o ministro das Relações Exteriores do Brasil e o seu equivalente argentino, no Palácio do Itamaraty, em Brasília, no início do mês de outubro de 2021. A redução da TEC é um antigo desejo do Brasil, que pretende abrir mais sua economia e, com isso, ajudar a controlar a inflação. Já a Argentina temia que a medida pudesse afetar sua produção industrial. O acordo vai abranger uma ampla gama de produtos e ainda será apresentado ao Paraguai e Uruguai, para que seja formalizado. Brasil e Argentina fecham acordo para corte de 10% na tarifa do Mercosul. </w:t>
      </w:r>
      <w:r w:rsidR="00B24DB7" w:rsidRPr="00D43CEB">
        <w:rPr>
          <w:sz w:val="20"/>
          <w:szCs w:val="20"/>
        </w:rPr>
        <w:t>Disponível em: https://oglobo.globo.com. Acesso em: 8 out. 2021 (adaptado).</w:t>
      </w:r>
      <w:r w:rsidR="00B24DB7">
        <w:t xml:space="preserve"> </w:t>
      </w:r>
    </w:p>
    <w:p w14:paraId="22BD6BA8" w14:textId="77777777" w:rsidR="001F1B5D" w:rsidRDefault="00B24DB7" w:rsidP="00FA7A5B">
      <w:pPr>
        <w:shd w:val="clear" w:color="auto" w:fill="FFFFFF"/>
        <w:spacing w:after="0" w:line="240" w:lineRule="auto"/>
        <w:jc w:val="both"/>
      </w:pPr>
      <w:r>
        <w:t xml:space="preserve">A necessidade de negociação diplomática para viabilizar o acordo tarifário mencionado é explicada pela seguinte característica do Mercosul: </w:t>
      </w:r>
    </w:p>
    <w:p w14:paraId="73581B27" w14:textId="69880890" w:rsidR="00FA7A5B" w:rsidRDefault="00B24DB7" w:rsidP="00FA7A5B">
      <w:pPr>
        <w:shd w:val="clear" w:color="auto" w:fill="FFFFFF"/>
        <w:spacing w:after="0" w:line="240" w:lineRule="auto"/>
        <w:jc w:val="both"/>
      </w:pPr>
      <w:r>
        <w:t>A</w:t>
      </w:r>
      <w:r w:rsidR="00FA7A5B">
        <w:t>)</w:t>
      </w:r>
      <w:r>
        <w:t xml:space="preserve"> Limitação da circulação financeira. </w:t>
      </w:r>
    </w:p>
    <w:p w14:paraId="7DFA5B03" w14:textId="530473DE" w:rsidR="00FA7A5B" w:rsidRDefault="00B24DB7" w:rsidP="00FA7A5B">
      <w:pPr>
        <w:shd w:val="clear" w:color="auto" w:fill="FFFFFF"/>
        <w:spacing w:after="0" w:line="240" w:lineRule="auto"/>
        <w:jc w:val="both"/>
      </w:pPr>
      <w:r>
        <w:t>B</w:t>
      </w:r>
      <w:r w:rsidR="00FA7A5B">
        <w:t>)</w:t>
      </w:r>
      <w:r>
        <w:t xml:space="preserve"> Padronização da política monetária. </w:t>
      </w:r>
    </w:p>
    <w:p w14:paraId="105A79C1" w14:textId="6CDDFE5C" w:rsidR="00FA7A5B" w:rsidRPr="00176D3A" w:rsidRDefault="00B24DB7" w:rsidP="00FA7A5B">
      <w:pPr>
        <w:shd w:val="clear" w:color="auto" w:fill="FFFFFF"/>
        <w:spacing w:after="0" w:line="240" w:lineRule="auto"/>
        <w:jc w:val="both"/>
        <w:rPr>
          <w:color w:val="A20000"/>
        </w:rPr>
      </w:pPr>
      <w:r w:rsidRPr="00176D3A">
        <w:rPr>
          <w:color w:val="A20000"/>
        </w:rPr>
        <w:t>C</w:t>
      </w:r>
      <w:r w:rsidR="00FA7A5B" w:rsidRPr="00176D3A">
        <w:rPr>
          <w:color w:val="A20000"/>
        </w:rPr>
        <w:t>)</w:t>
      </w:r>
      <w:r w:rsidRPr="00176D3A">
        <w:rPr>
          <w:color w:val="A20000"/>
        </w:rPr>
        <w:t xml:space="preserve"> Funcionamento da união aduaneira. </w:t>
      </w:r>
    </w:p>
    <w:p w14:paraId="116DC8B1" w14:textId="1B741326" w:rsidR="00FA7A5B" w:rsidRDefault="00B24DB7" w:rsidP="00FA7A5B">
      <w:pPr>
        <w:shd w:val="clear" w:color="auto" w:fill="FFFFFF"/>
        <w:spacing w:after="0" w:line="240" w:lineRule="auto"/>
        <w:jc w:val="both"/>
      </w:pPr>
      <w:r>
        <w:t>D</w:t>
      </w:r>
      <w:r w:rsidR="00FA7A5B">
        <w:t>)</w:t>
      </w:r>
      <w:r>
        <w:t xml:space="preserve"> Dependência da exportação agrícola. </w:t>
      </w:r>
    </w:p>
    <w:p w14:paraId="4E2B8F9F" w14:textId="4F0F58DE" w:rsidR="00B24DB7" w:rsidRDefault="00B24DB7" w:rsidP="00FA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t>E</w:t>
      </w:r>
      <w:r w:rsidR="00FA7A5B">
        <w:t>)</w:t>
      </w:r>
      <w:r>
        <w:t xml:space="preserve"> Equivalência da legislação trabalhista</w:t>
      </w:r>
    </w:p>
    <w:p w14:paraId="2A0B5C80" w14:textId="5BEDAE0C" w:rsidR="00B24DB7" w:rsidRPr="00176D3A" w:rsidRDefault="00176D3A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i/>
          <w:iCs/>
          <w:color w:val="A20000"/>
          <w:kern w:val="0"/>
          <w:lang w:eastAsia="pt-BR"/>
          <w14:ligatures w14:val="none"/>
        </w:rPr>
      </w:pPr>
      <w:r w:rsidRPr="00176D3A">
        <w:rPr>
          <w:rFonts w:eastAsia="Times New Roman" w:cs="Times New Roman"/>
          <w:b/>
          <w:bCs/>
          <w:kern w:val="0"/>
          <w:lang w:eastAsia="pt-BR"/>
          <w14:ligatures w14:val="none"/>
        </w:rPr>
        <w:t>Comentário:</w:t>
      </w:r>
      <w:r w:rsidRPr="00176D3A">
        <w:t xml:space="preserve"> </w:t>
      </w:r>
      <w:r w:rsidRPr="00176D3A">
        <w:rPr>
          <w:rFonts w:eastAsia="Times New Roman" w:cs="Times New Roman"/>
          <w:i/>
          <w:iCs/>
          <w:color w:val="A20000"/>
          <w:kern w:val="0"/>
          <w:lang w:eastAsia="pt-BR"/>
          <w14:ligatures w14:val="none"/>
        </w:rPr>
        <w:t>O texto discute o Mercosul, um bloco econômico composto por Argentina, Brasil, Paraguai e Uruguai. Esse bloco funciona como uma união aduaneira, o que implica a existência de uma zona de livre comércio nas fronteiras e uma tarifa externa aplicada ao comércio do bloco com outros países.</w:t>
      </w:r>
    </w:p>
    <w:p w14:paraId="7AD10E5B" w14:textId="7E4423DA" w:rsidR="00374795" w:rsidRPr="00D43CEB" w:rsidRDefault="00FA7A5B" w:rsidP="00D43CEB">
      <w:pPr>
        <w:pStyle w:val="PargrafodaList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b/>
          <w:bCs/>
        </w:rPr>
      </w:pPr>
      <w:r w:rsidRPr="00D43CEB">
        <w:rPr>
          <w:b/>
          <w:bCs/>
        </w:rPr>
        <w:t>(Enem- 2</w:t>
      </w:r>
      <w:r w:rsidR="00B24DB7" w:rsidRPr="00D43CEB">
        <w:rPr>
          <w:b/>
          <w:bCs/>
        </w:rPr>
        <w:t>022)</w:t>
      </w:r>
      <w:r w:rsidRPr="00D43CEB">
        <w:rPr>
          <w:b/>
          <w:bCs/>
        </w:rPr>
        <w:t xml:space="preserve"> </w:t>
      </w:r>
    </w:p>
    <w:p w14:paraId="7CD80E89" w14:textId="732C0537" w:rsidR="00FA7A5B" w:rsidRDefault="00B24DB7" w:rsidP="00912EBB">
      <w:pPr>
        <w:shd w:val="clear" w:color="auto" w:fill="FFFFFF"/>
        <w:spacing w:after="150" w:line="240" w:lineRule="auto"/>
        <w:jc w:val="both"/>
      </w:pPr>
      <w:r w:rsidRPr="00374795">
        <w:rPr>
          <w:b/>
          <w:bCs/>
        </w:rPr>
        <w:t>TEXTO I</w:t>
      </w:r>
      <w:r w:rsidR="00A42B23">
        <w:t xml:space="preserve">: </w:t>
      </w:r>
      <w:r>
        <w:t xml:space="preserve">A Marinha identifica, na voz de Thomas Barnett, uma ampla região potencialmente insubmissa ou simplesmente irredutível às normas gerais de funcionamento promovidas pelos Estados Unidos e sancionadas pelo Fundo Monetário Internacional, pela Organização Mundial do Comércio e pelo Banco Mundial. E não necessariamente por sua consciência rebelde, mas sim, em muitos casos, pela </w:t>
      </w:r>
      <w:proofErr w:type="spellStart"/>
      <w:r>
        <w:t>insubstancialidade</w:t>
      </w:r>
      <w:proofErr w:type="spellEnd"/>
      <w:r>
        <w:t xml:space="preserve"> de suas instituições estatais. </w:t>
      </w:r>
    </w:p>
    <w:p w14:paraId="40F7BCF3" w14:textId="466DC980" w:rsidR="00B24DB7" w:rsidRPr="00374795" w:rsidRDefault="00B24DB7" w:rsidP="00912EBB">
      <w:pPr>
        <w:shd w:val="clear" w:color="auto" w:fill="FFFFFF"/>
        <w:spacing w:after="150" w:line="240" w:lineRule="auto"/>
        <w:jc w:val="both"/>
        <w:rPr>
          <w:b/>
          <w:bCs/>
        </w:rPr>
      </w:pPr>
      <w:r w:rsidRPr="00374795">
        <w:rPr>
          <w:b/>
          <w:bCs/>
        </w:rPr>
        <w:t>TEXTO II</w:t>
      </w:r>
    </w:p>
    <w:p w14:paraId="54025DEA" w14:textId="06944EA5" w:rsidR="00B24DB7" w:rsidRDefault="00B24DB7" w:rsidP="00912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B24D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0299C1FF" wp14:editId="0DCC7847">
            <wp:extent cx="2475230" cy="2138045"/>
            <wp:effectExtent l="0" t="0" r="1270" b="0"/>
            <wp:docPr id="246745732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45732" name="Imagem 1" descr="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FDF95" w14:textId="77777777" w:rsidR="00FA7A5B" w:rsidRDefault="00B24DB7" w:rsidP="00912EBB">
      <w:pPr>
        <w:shd w:val="clear" w:color="auto" w:fill="FFFFFF"/>
        <w:spacing w:after="150" w:line="240" w:lineRule="auto"/>
        <w:jc w:val="both"/>
      </w:pPr>
      <w:r>
        <w:t xml:space="preserve">As preocupações do governo estadunidense expressas no texto e no mapa evidenciam uma estratégia para </w:t>
      </w:r>
    </w:p>
    <w:p w14:paraId="35BE104E" w14:textId="77777777" w:rsidR="00BB1DFF" w:rsidRDefault="00B24DB7" w:rsidP="002F1F3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</w:pPr>
      <w:r>
        <w:t>compartilhamento de inovações tecnológicas.</w:t>
      </w:r>
    </w:p>
    <w:p w14:paraId="0145C17A" w14:textId="77777777" w:rsidR="00BB1DFF" w:rsidRDefault="00B24DB7" w:rsidP="003A147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</w:pPr>
      <w:r>
        <w:t xml:space="preserve">promoção de independência financeira. </w:t>
      </w:r>
    </w:p>
    <w:p w14:paraId="3D6C8A7B" w14:textId="77777777" w:rsidR="00BB1DFF" w:rsidRDefault="00B24DB7" w:rsidP="006E6C6C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</w:pPr>
      <w:r>
        <w:t xml:space="preserve">incremento de intercâmbios culturais. </w:t>
      </w:r>
    </w:p>
    <w:p w14:paraId="4DAE17C2" w14:textId="77777777" w:rsidR="00BB1DFF" w:rsidRPr="00F3599E" w:rsidRDefault="00B24DB7" w:rsidP="00346FD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pt-BR"/>
          <w14:ligatures w14:val="none"/>
        </w:rPr>
      </w:pPr>
      <w:r w:rsidRPr="00F3599E">
        <w:rPr>
          <w:color w:val="A20000"/>
        </w:rPr>
        <w:t xml:space="preserve">ampliação de influência econômica. </w:t>
      </w:r>
    </w:p>
    <w:p w14:paraId="3D13AAED" w14:textId="5C874D52" w:rsidR="00B24DB7" w:rsidRPr="00BB1DFF" w:rsidRDefault="00B24DB7" w:rsidP="00346FD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t>preservação de recursos naturais.</w:t>
      </w:r>
    </w:p>
    <w:p w14:paraId="0A23BFAD" w14:textId="77777777" w:rsidR="00FA12DF" w:rsidRDefault="00FA12DF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</w:p>
    <w:p w14:paraId="22FD03CF" w14:textId="042B3F30" w:rsidR="00FA7A5B" w:rsidRPr="00F3599E" w:rsidRDefault="00FA12DF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i/>
          <w:iCs/>
          <w:color w:val="A20000"/>
          <w:kern w:val="0"/>
          <w:lang w:eastAsia="pt-BR"/>
          <w14:ligatures w14:val="none"/>
        </w:rPr>
      </w:pPr>
      <w:r w:rsidRPr="00FA12DF">
        <w:rPr>
          <w:rFonts w:eastAsia="Times New Roman" w:cs="Times New Roman"/>
          <w:b/>
          <w:bCs/>
          <w:kern w:val="0"/>
          <w:lang w:eastAsia="pt-BR"/>
          <w14:ligatures w14:val="none"/>
        </w:rPr>
        <w:t>Comentário:</w:t>
      </w:r>
      <w:r w:rsidRPr="00FA12DF">
        <w:rPr>
          <w:rFonts w:cs="Arial"/>
          <w:color w:val="191A1A"/>
          <w:spacing w:val="-3"/>
          <w:shd w:val="clear" w:color="auto" w:fill="FFFFFF"/>
        </w:rPr>
        <w:t xml:space="preserve"> </w:t>
      </w:r>
      <w:r w:rsidRPr="00F3599E">
        <w:rPr>
          <w:rFonts w:cs="Arial"/>
          <w:i/>
          <w:iCs/>
          <w:color w:val="A20000"/>
          <w:spacing w:val="-3"/>
          <w:shd w:val="clear" w:color="auto" w:fill="FFFFFF"/>
        </w:rPr>
        <w:t>O texto aborda países com instituições enfraquecidas, enquanto um entrave para a influência estadunidense, que é influenciada pelo interesse no petróleo.</w:t>
      </w:r>
    </w:p>
    <w:p w14:paraId="43E93D67" w14:textId="3260FB33" w:rsidR="00914AD1" w:rsidRDefault="00FA7A5B" w:rsidP="00FA12DF">
      <w:pPr>
        <w:pStyle w:val="PargrafodaLista"/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jc w:val="both"/>
      </w:pP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(Enem-</w:t>
      </w:r>
      <w:r w:rsidR="00363B44"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2020</w:t>
      </w: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) </w:t>
      </w:r>
      <w:r w:rsidR="00363B44">
        <w:t xml:space="preserve">Declaração de Salamanca – 1994 Acreditamos e proclamamos que: toda criança tem direito fundamental à educação e deve ser dada a oportunidade de atingir e manter o nível adequado de aprendizagem; toda criança possui características, interesses, habilidades e necessidades de aprendizagem que são únicas; sistemas educacionais deveriam ser designados e programas educacionais deveriam ser implementados no sentido de se levar em conta a vasta diversidade de tais características e necessidades. </w:t>
      </w:r>
      <w:r w:rsidR="00363B44" w:rsidRPr="00D43CEB">
        <w:rPr>
          <w:sz w:val="20"/>
          <w:szCs w:val="20"/>
        </w:rPr>
        <w:t>Disponível em: http://portal.mec.gov.br. Acesso em: 4 out. 2015.</w:t>
      </w:r>
      <w:r w:rsidR="00363B44">
        <w:t xml:space="preserve"> </w:t>
      </w:r>
    </w:p>
    <w:p w14:paraId="4448FA46" w14:textId="2D878AEC" w:rsidR="00FA7A5B" w:rsidRDefault="00363B44" w:rsidP="00912EBB">
      <w:pPr>
        <w:shd w:val="clear" w:color="auto" w:fill="FFFFFF"/>
        <w:spacing w:after="150" w:line="240" w:lineRule="auto"/>
        <w:jc w:val="both"/>
      </w:pPr>
      <w:r>
        <w:t xml:space="preserve">Como signatário da Declaração citada, o Brasil comprometeu-se com a elaboração de políticas públicas educacionais que contemplem a </w:t>
      </w:r>
    </w:p>
    <w:p w14:paraId="48A79560" w14:textId="77777777" w:rsidR="00914AD1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 xml:space="preserve">criação de privilégios. </w:t>
      </w:r>
    </w:p>
    <w:p w14:paraId="6F811BD7" w14:textId="35C2C030" w:rsidR="00914AD1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 xml:space="preserve">contenção dos gastos. </w:t>
      </w:r>
    </w:p>
    <w:p w14:paraId="167DE759" w14:textId="2F3A0699" w:rsidR="00914AD1" w:rsidRPr="00764134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color w:val="A20000"/>
        </w:rPr>
      </w:pPr>
      <w:r w:rsidRPr="00764134">
        <w:rPr>
          <w:color w:val="A20000"/>
        </w:rPr>
        <w:t xml:space="preserve">pluralidade dos sujeitos. </w:t>
      </w:r>
    </w:p>
    <w:p w14:paraId="504C184D" w14:textId="285E878B" w:rsidR="00914AD1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 xml:space="preserve">padronização do currículo. </w:t>
      </w:r>
    </w:p>
    <w:p w14:paraId="29B147D3" w14:textId="26BA3BB5" w:rsidR="00363B44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>valorização da meritocracia.</w:t>
      </w:r>
    </w:p>
    <w:p w14:paraId="651D2B5D" w14:textId="77777777" w:rsidR="00AC6DEE" w:rsidRDefault="00AC6DEE" w:rsidP="00912EBB">
      <w:pPr>
        <w:shd w:val="clear" w:color="auto" w:fill="FFFFFF"/>
        <w:spacing w:after="150" w:line="240" w:lineRule="auto"/>
        <w:jc w:val="both"/>
        <w:rPr>
          <w:b/>
          <w:bCs/>
        </w:rPr>
      </w:pPr>
    </w:p>
    <w:p w14:paraId="7ECFE43F" w14:textId="5B2993EF" w:rsidR="00363B44" w:rsidRPr="00AC6DEE" w:rsidRDefault="00AC6DEE" w:rsidP="00912EBB">
      <w:pPr>
        <w:shd w:val="clear" w:color="auto" w:fill="FFFFFF"/>
        <w:spacing w:after="150" w:line="240" w:lineRule="auto"/>
        <w:jc w:val="both"/>
        <w:rPr>
          <w:i/>
          <w:iCs/>
          <w:color w:val="A20000"/>
        </w:rPr>
      </w:pPr>
      <w:r w:rsidRPr="00AC6DEE">
        <w:rPr>
          <w:b/>
          <w:bCs/>
        </w:rPr>
        <w:t>Comentário:</w:t>
      </w:r>
      <w:r w:rsidRPr="00AC6DEE">
        <w:t xml:space="preserve"> </w:t>
      </w:r>
      <w:r w:rsidRPr="00AC6DEE">
        <w:rPr>
          <w:i/>
          <w:iCs/>
          <w:color w:val="A20000"/>
        </w:rPr>
        <w:t>A declaração em questão aborda não apenas o direito universal ao acesso à educação, mas também o reconhecimento da diversidade como um aspecto essencial da humanidade. Portanto, é fundamental comprometer-se não apenas com a universalização da educação, mas também com a valorização da pluralidade dos indivíduos que ingressam no sistema educacional.</w:t>
      </w:r>
    </w:p>
    <w:p w14:paraId="21743309" w14:textId="6BFB8A28" w:rsidR="00FA7A5B" w:rsidRDefault="009544EC" w:rsidP="00912EBB">
      <w:pPr>
        <w:shd w:val="clear" w:color="auto" w:fill="FFFFFF"/>
        <w:spacing w:after="150" w:line="240" w:lineRule="auto"/>
        <w:jc w:val="both"/>
      </w:pPr>
      <w:r>
        <w:rPr>
          <w:b/>
          <w:bCs/>
        </w:rPr>
        <w:t>4)</w:t>
      </w:r>
      <w:r w:rsidR="00FA7A5B" w:rsidRPr="009544EC">
        <w:rPr>
          <w:b/>
          <w:bCs/>
        </w:rPr>
        <w:t>(Enem-</w:t>
      </w:r>
      <w:r w:rsidR="00363B44" w:rsidRPr="009544EC">
        <w:rPr>
          <w:b/>
          <w:bCs/>
        </w:rPr>
        <w:t>2019</w:t>
      </w:r>
      <w:r w:rsidR="00FA7A5B" w:rsidRPr="009544EC">
        <w:rPr>
          <w:b/>
          <w:bCs/>
        </w:rPr>
        <w:t>)</w:t>
      </w:r>
      <w:r w:rsidR="00FA7A5B">
        <w:t xml:space="preserve"> </w:t>
      </w:r>
      <w:r w:rsidR="00363B44">
        <w:t xml:space="preserve">Brasil, Alemanha, Japão e Índia pedem reforma do Conselho de Segurança Os representantes do G4 (Brasil, Alemanha, Índia e Japão) reiteraram, em setembro de 2018, a defesa pela ampliação do Conselho de Segurança da Organização das Nações Unidas (ONU) durante reunião em Nova York (Estados Unidos). Em declaração conjunta, de dez itens, os chanceleres destacaram que o órgão, no formato em que está, com apenas cinco membros permanentes e dez rotativos, não reflete o século 21. “A reforma do Conselho de Segurança é essencial para enfrentar os desafios complexos de hoje. Como aspirantes a novos membros permanentes de um conselho reformado, os ministros reiteraram seu compromisso de trabalhar para fortalecer o funcionamento da ONU e da ordem multilateral global, bem como seu apoio às respectivas candidaturas”, afirma a declaração conjunta. Disponível em: http://agenciabrasil.ebc.com.br. Acesso em: 7 dez. 2018 (adaptado). Os países </w:t>
      </w:r>
      <w:r w:rsidR="00363B44">
        <w:lastRenderedPageBreak/>
        <w:t xml:space="preserve">mencionados no texto justificam sua pretensão com base na seguinte característica comum: </w:t>
      </w:r>
    </w:p>
    <w:p w14:paraId="23B1CCBD" w14:textId="5D7117E4" w:rsidR="00FA7A5B" w:rsidRDefault="009544EC" w:rsidP="00FA7A5B">
      <w:pPr>
        <w:shd w:val="clear" w:color="auto" w:fill="FFFFFF"/>
        <w:spacing w:after="0" w:line="240" w:lineRule="auto"/>
        <w:jc w:val="both"/>
      </w:pPr>
      <w:r>
        <w:t>a)</w:t>
      </w:r>
      <w:r w:rsidR="00363B44">
        <w:t xml:space="preserve"> Extensividade de área territorial. </w:t>
      </w:r>
    </w:p>
    <w:p w14:paraId="0E156144" w14:textId="12E6C2C9" w:rsidR="00FA7A5B" w:rsidRPr="00281F68" w:rsidRDefault="009544EC" w:rsidP="00FA7A5B">
      <w:pPr>
        <w:shd w:val="clear" w:color="auto" w:fill="FFFFFF"/>
        <w:spacing w:after="0" w:line="240" w:lineRule="auto"/>
        <w:jc w:val="both"/>
      </w:pPr>
      <w:r w:rsidRPr="006E7EB3">
        <w:rPr>
          <w:color w:val="A20000"/>
        </w:rPr>
        <w:t xml:space="preserve">b) </w:t>
      </w:r>
      <w:r w:rsidR="00363B44" w:rsidRPr="006E7EB3">
        <w:rPr>
          <w:color w:val="A20000"/>
        </w:rPr>
        <w:t>Protagonismo em escala regional</w:t>
      </w:r>
      <w:r w:rsidR="00363B44" w:rsidRPr="00281F68">
        <w:t xml:space="preserve">. </w:t>
      </w:r>
    </w:p>
    <w:p w14:paraId="0C9D4AAA" w14:textId="6D0A9E60" w:rsidR="00FA7A5B" w:rsidRDefault="009544EC" w:rsidP="00FA7A5B">
      <w:pPr>
        <w:shd w:val="clear" w:color="auto" w:fill="FFFFFF"/>
        <w:spacing w:after="0" w:line="240" w:lineRule="auto"/>
        <w:jc w:val="both"/>
      </w:pPr>
      <w:r>
        <w:t>c)</w:t>
      </w:r>
      <w:r w:rsidR="00363B44">
        <w:t xml:space="preserve"> Investimento em tecnologia militar. </w:t>
      </w:r>
    </w:p>
    <w:p w14:paraId="61A06D00" w14:textId="45957E2B" w:rsidR="00FA7A5B" w:rsidRDefault="009544EC" w:rsidP="00FA7A5B">
      <w:pPr>
        <w:shd w:val="clear" w:color="auto" w:fill="FFFFFF"/>
        <w:spacing w:after="0" w:line="240" w:lineRule="auto"/>
        <w:jc w:val="both"/>
      </w:pPr>
      <w:r>
        <w:t>d)</w:t>
      </w:r>
      <w:r w:rsidR="00363B44">
        <w:t xml:space="preserve"> Desenvolvimento de energia nuclear. </w:t>
      </w:r>
    </w:p>
    <w:p w14:paraId="6D8D2654" w14:textId="6A1D2B6D" w:rsidR="00363B44" w:rsidRDefault="009544EC" w:rsidP="00FA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t xml:space="preserve">e) </w:t>
      </w:r>
      <w:r w:rsidR="00363B44">
        <w:t>Disponibilidade de recursos minerais.</w:t>
      </w:r>
    </w:p>
    <w:p w14:paraId="4982E685" w14:textId="77777777" w:rsidR="0050322C" w:rsidRDefault="0050322C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</w:p>
    <w:p w14:paraId="6DC065C7" w14:textId="3D7EEE25" w:rsidR="00FA7A5B" w:rsidRPr="0050322C" w:rsidRDefault="0050322C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  <w:r w:rsidRPr="0050322C">
        <w:rPr>
          <w:rFonts w:eastAsia="Times New Roman" w:cs="Times New Roman"/>
          <w:b/>
          <w:bCs/>
          <w:kern w:val="0"/>
          <w:lang w:eastAsia="pt-BR"/>
          <w14:ligatures w14:val="none"/>
        </w:rPr>
        <w:t>Comentário:</w:t>
      </w:r>
      <w:r w:rsidRPr="0050322C">
        <w:rPr>
          <w:rFonts w:cs="Arial"/>
          <w:color w:val="191A1A"/>
          <w:spacing w:val="-3"/>
          <w:shd w:val="clear" w:color="auto" w:fill="FFFFFF"/>
        </w:rPr>
        <w:t xml:space="preserve"> </w:t>
      </w:r>
      <w:r w:rsidRPr="0050322C">
        <w:rPr>
          <w:rFonts w:cs="Arial"/>
          <w:i/>
          <w:iCs/>
          <w:color w:val="A20000"/>
          <w:spacing w:val="-3"/>
          <w:shd w:val="clear" w:color="auto" w:fill="FFFFFF"/>
        </w:rPr>
        <w:t>O texto relata um pedido do G4 (Brasil, Índia, Alemanha e Japão) por uma ampliação do Conselho de Segurança da ONU, que atualmente não reflete o século XXI. A nova ordem mundial é caracterizada pela multipolaridade econômica.</w:t>
      </w:r>
    </w:p>
    <w:p w14:paraId="28B1866E" w14:textId="77777777" w:rsidR="0050322C" w:rsidRDefault="0050322C" w:rsidP="009544E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bCs/>
          <w:kern w:val="0"/>
          <w:lang w:eastAsia="pt-BR"/>
          <w14:ligatures w14:val="none"/>
        </w:rPr>
      </w:pPr>
    </w:p>
    <w:p w14:paraId="36C08644" w14:textId="23FFD595" w:rsidR="009544EC" w:rsidRDefault="00912EBB" w:rsidP="009544E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kern w:val="0"/>
          <w:lang w:eastAsia="pt-BR"/>
          <w14:ligatures w14:val="none"/>
        </w:rPr>
      </w:pPr>
      <w:r w:rsidRPr="00912EBB">
        <w:rPr>
          <w:rFonts w:asciiTheme="majorHAnsi" w:eastAsia="Times New Roman" w:hAnsiTheme="majorHAnsi" w:cs="Times New Roman"/>
          <w:b/>
          <w:bCs/>
          <w:kern w:val="0"/>
          <w:lang w:eastAsia="pt-BR"/>
          <w14:ligatures w14:val="none"/>
        </w:rPr>
        <w:t>(Enem-2017)</w:t>
      </w:r>
      <w:r w:rsidRPr="00912EBB">
        <w:rPr>
          <w:rFonts w:asciiTheme="majorHAnsi" w:eastAsia="Times New Roman" w:hAnsiTheme="majorHAnsi" w:cs="Times New Roman"/>
          <w:kern w:val="0"/>
          <w:lang w:eastAsia="pt-BR"/>
          <w14:ligatures w14:val="none"/>
        </w:rPr>
        <w:t xml:space="preserve"> México, Colômbia, Peru e Chile decidiram seguir um caminho mais curto para a integração regional. Os quatro países, em meados de 2012, criaram a Aliança do Pacífico e eliminaram, em 2013, as tarifas aduaneiras de 90% do total de produtos comercializados entre suas fronteiras. </w:t>
      </w:r>
      <w:r w:rsidRPr="00912EBB">
        <w:rPr>
          <w:rFonts w:asciiTheme="majorHAnsi" w:eastAsia="Times New Roman" w:hAnsiTheme="majorHAnsi" w:cs="Times New Roman"/>
          <w:kern w:val="0"/>
          <w:sz w:val="20"/>
          <w:szCs w:val="20"/>
          <w:lang w:eastAsia="pt-BR"/>
          <w14:ligatures w14:val="none"/>
        </w:rPr>
        <w:t>OLIVEIRA, E. Aliança do Pacífico se fortalece e Mercosul fica à sua sombra. O Globo, 24 fev. 2013 (adaptado)</w:t>
      </w:r>
      <w:r w:rsidRPr="00912EBB">
        <w:rPr>
          <w:rFonts w:asciiTheme="majorHAnsi" w:eastAsia="Times New Roman" w:hAnsiTheme="majorHAnsi" w:cs="Times New Roman"/>
          <w:kern w:val="0"/>
          <w:lang w:eastAsia="pt-BR"/>
          <w14:ligatures w14:val="none"/>
        </w:rPr>
        <w:t xml:space="preserve"> </w:t>
      </w:r>
    </w:p>
    <w:p w14:paraId="1C69DC55" w14:textId="57641D2F" w:rsidR="00912EBB" w:rsidRPr="00912EBB" w:rsidRDefault="00912EBB" w:rsidP="009544E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kern w:val="0"/>
          <w:lang w:eastAsia="pt-BR"/>
          <w14:ligatures w14:val="none"/>
        </w:rPr>
      </w:pPr>
      <w:r w:rsidRPr="00912EBB">
        <w:rPr>
          <w:rFonts w:asciiTheme="majorHAnsi" w:eastAsia="Times New Roman" w:hAnsiTheme="majorHAnsi" w:cs="Times New Roman"/>
          <w:kern w:val="0"/>
          <w:lang w:eastAsia="pt-BR"/>
          <w14:ligatures w14:val="none"/>
        </w:rPr>
        <w:t>O acordo descrito no texto teve como objetivo econômico para os países membros</w:t>
      </w:r>
    </w:p>
    <w:p w14:paraId="505D5088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promover a livre circulação de trabalhadores.</w:t>
      </w:r>
    </w:p>
    <w:p w14:paraId="26E7531D" w14:textId="77777777" w:rsidR="003746A8" w:rsidRPr="006E7EB3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color w:val="A20000"/>
          <w:lang w:eastAsia="pt-BR"/>
        </w:rPr>
      </w:pPr>
      <w:r w:rsidRPr="006E7EB3">
        <w:rPr>
          <w:color w:val="A20000"/>
          <w:lang w:eastAsia="pt-BR"/>
        </w:rPr>
        <w:t>fomentar a competitividade no mercado externo.</w:t>
      </w:r>
    </w:p>
    <w:p w14:paraId="136C53FB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restringir investimentos de empresas multinacionais.</w:t>
      </w:r>
    </w:p>
    <w:p w14:paraId="3DDE92DC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adotar medidas cambiais para subsidiar o setor agrícola.</w:t>
      </w:r>
    </w:p>
    <w:p w14:paraId="1EB4D120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reduzir a fiscalização alfandegária para incentivar o consumo.</w:t>
      </w:r>
    </w:p>
    <w:p w14:paraId="5DBE073C" w14:textId="77777777" w:rsidR="00134E72" w:rsidRDefault="00134E72" w:rsidP="00912EBB">
      <w:pPr>
        <w:jc w:val="both"/>
        <w:rPr>
          <w:rFonts w:cs="Times New Roman"/>
          <w:b/>
          <w:bCs/>
        </w:rPr>
      </w:pPr>
    </w:p>
    <w:p w14:paraId="1AF9BBDB" w14:textId="70393548" w:rsidR="007737EF" w:rsidRPr="00134E72" w:rsidRDefault="00134E72" w:rsidP="00912EBB">
      <w:pPr>
        <w:jc w:val="both"/>
        <w:rPr>
          <w:rFonts w:cs="Times New Roman"/>
          <w:i/>
          <w:iCs/>
          <w:color w:val="A20000"/>
        </w:rPr>
      </w:pPr>
      <w:r w:rsidRPr="00134E72">
        <w:rPr>
          <w:rFonts w:cs="Times New Roman"/>
          <w:b/>
          <w:bCs/>
        </w:rPr>
        <w:t xml:space="preserve">Comentário: </w:t>
      </w:r>
      <w:r w:rsidRPr="00134E72">
        <w:rPr>
          <w:rFonts w:cs="Times New Roman"/>
          <w:i/>
          <w:iCs/>
          <w:color w:val="A20000"/>
        </w:rPr>
        <w:t>A Aliança do Pacífico visa promover uma maior integração econômica entre os países, diminuindo os obstáculos fiscais que encarecem ou dificultam a circulação de mercadorias. Com a eliminação desses impedimentos, os países conseguem aumentar sua competitividade no mercado externo, já que aquele que oferecer a produção mais barata terá uma vantagem significativa.</w:t>
      </w:r>
    </w:p>
    <w:p w14:paraId="3D665F2B" w14:textId="77777777" w:rsidR="00D3224B" w:rsidRDefault="00FA7A5B" w:rsidP="00912EBB">
      <w:pPr>
        <w:jc w:val="both"/>
      </w:pPr>
      <w:r w:rsidRPr="009544EC">
        <w:rPr>
          <w:rFonts w:cs="Times New Roman"/>
          <w:b/>
          <w:bCs/>
        </w:rPr>
        <w:t>(Enem-2019)</w:t>
      </w:r>
      <w:r w:rsidRPr="00FA7A5B">
        <w:t xml:space="preserve"> </w:t>
      </w:r>
      <w:r>
        <w:t xml:space="preserve">A Declaração Universal dos Direitos Humanos, adotada e proclamada pela Assembleia Geral da ONU na Resolução 217-A, de 10 de dezembro de 1948, foi um acontecimento histórico de grande relevância. Ao afirmar, pela primeira vez em escala planetária, o papel dos direitos humanos na convivência coletiva, pode ser considerada um evento inaugural de uma nova concepção de vida internacional. </w:t>
      </w:r>
      <w:r w:rsidRPr="00D3224B">
        <w:rPr>
          <w:sz w:val="20"/>
          <w:szCs w:val="20"/>
        </w:rPr>
        <w:t>LAFER, C. Declaração Universal dos Direitos Humanos (1948). In: MAGNOLI, D. (Org.). História da paz. São Paulo: Contexto, 2008.</w:t>
      </w:r>
      <w:r>
        <w:t xml:space="preserve"> </w:t>
      </w:r>
    </w:p>
    <w:p w14:paraId="7656929A" w14:textId="77777777" w:rsidR="00D3224B" w:rsidRDefault="00FA7A5B" w:rsidP="00912EBB">
      <w:pPr>
        <w:jc w:val="both"/>
      </w:pPr>
      <w:r>
        <w:t xml:space="preserve">A declaração citada no texto introduziu uma nova concepção nas relações internacionais ao possibilitar a </w:t>
      </w:r>
    </w:p>
    <w:p w14:paraId="0FE077E8" w14:textId="60DB047B" w:rsid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superação da soberania estatal. </w:t>
      </w:r>
    </w:p>
    <w:p w14:paraId="025AE96D" w14:textId="581D440D" w:rsidR="00D3224B" w:rsidRPr="006E7EB3" w:rsidRDefault="00FA7A5B" w:rsidP="00D3224B">
      <w:pPr>
        <w:pStyle w:val="PargrafodaLista"/>
        <w:numPr>
          <w:ilvl w:val="0"/>
          <w:numId w:val="8"/>
        </w:numPr>
        <w:spacing w:after="0"/>
        <w:jc w:val="both"/>
        <w:rPr>
          <w:color w:val="A20000"/>
        </w:rPr>
      </w:pPr>
      <w:r w:rsidRPr="006E7EB3">
        <w:rPr>
          <w:color w:val="A20000"/>
        </w:rPr>
        <w:t xml:space="preserve">defesa dos grupos vulneráveis. </w:t>
      </w:r>
    </w:p>
    <w:p w14:paraId="0F5B42FB" w14:textId="2B06C2CF" w:rsid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redução da truculência belicista. </w:t>
      </w:r>
    </w:p>
    <w:p w14:paraId="219F7C35" w14:textId="7F53354E" w:rsid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impunidade dos atos criminosos. </w:t>
      </w:r>
    </w:p>
    <w:p w14:paraId="725A4133" w14:textId="0B84715A" w:rsidR="004F0882" w:rsidRP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t>inibição dos choques civilizacionais.</w:t>
      </w:r>
    </w:p>
    <w:p w14:paraId="11037624" w14:textId="77777777" w:rsidR="003A7604" w:rsidRDefault="003A7604" w:rsidP="003A7604">
      <w:pPr>
        <w:jc w:val="both"/>
        <w:rPr>
          <w:rFonts w:eastAsia="Times New Roman" w:cs="Times New Roman"/>
          <w:color w:val="A20000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2EB2C31C" w14:textId="4537ED60" w:rsidR="000331FF" w:rsidRPr="003A7604" w:rsidRDefault="00302700" w:rsidP="003A7604">
      <w:pPr>
        <w:jc w:val="both"/>
        <w:rPr>
          <w:rFonts w:eastAsia="Times New Roman" w:cs="Times New Roman"/>
          <w:i/>
          <w:iCs/>
          <w:color w:val="A20000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302700">
        <w:rPr>
          <w:rFonts w:cs="Times New Roman"/>
          <w:b/>
          <w:bCs/>
        </w:rPr>
        <w:t>Comentário:</w:t>
      </w:r>
      <w:r w:rsidR="003A7604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 xml:space="preserve"> </w:t>
      </w:r>
      <w:r w:rsidR="003A7604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 xml:space="preserve">Criada após a Segunda Guerra Mundial e o Holocausto, a Declaração Universal dos Direitos Humanos tem como um de seus principais fundamentos a proteção dos grupos vulneráveis, algo inovador nas relações entre países. Entre seus princípios estão </w:t>
      </w:r>
      <w:proofErr w:type="spellStart"/>
      <w:r w:rsidR="003A7604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>a</w:t>
      </w:r>
      <w:proofErr w:type="spellEnd"/>
      <w:r w:rsidR="003A7604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 xml:space="preserve"> autodeterminação dos povos, a condenação da escravidão e a defesa</w:t>
      </w:r>
      <w:r w:rsidR="003A7604" w:rsidRPr="003A7604">
        <w:rPr>
          <w:rFonts w:eastAsia="Times New Roman" w:cs="Times New Roman"/>
          <w:i/>
          <w:iCs/>
          <w:color w:val="A2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dos grupos minoritários.</w:t>
      </w:r>
    </w:p>
    <w:p w14:paraId="2588770C" w14:textId="1B32193F" w:rsidR="00912EBB" w:rsidRPr="00912EBB" w:rsidRDefault="00912EBB" w:rsidP="003A7604">
      <w:pPr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ascii="Roboto" w:eastAsia="Times New Roman" w:hAnsi="Roboto" w:cs="Times New Roman"/>
          <w:color w:val="888888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912EB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(Enem-2018)</w:t>
      </w:r>
      <w:r w:rsidR="00C64999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As diferentes formas em que as sociedades se organizam socioeconomicamente visam a atender suas necessidades para a época. O liberalismo, atualmente, assume papel crescente, com os Estados diminuindo sua atuação em várias áreas, inclusive vendendo empresas estatais. Da </w:t>
      </w:r>
      <w:r w:rsidR="00823276" w:rsidRPr="00912EBB">
        <w:rPr>
          <w:rFonts w:eastAsia="Times New Roman" w:cs="Times New Roman"/>
          <w:kern w:val="0"/>
          <w:lang w:eastAsia="pt-BR"/>
          <w14:ligatures w14:val="none"/>
        </w:rPr>
        <w:t>ideia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de interferência estatal na economia, do “Estado de Bem</w:t>
      </w:r>
      <w:r w:rsidR="00823276">
        <w:rPr>
          <w:rFonts w:eastAsia="Times New Roman" w:cs="Times New Roman"/>
          <w:kern w:val="0"/>
          <w:lang w:eastAsia="pt-BR"/>
          <w14:ligatures w14:val="none"/>
        </w:rPr>
        <w:t>-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Estar”, da assistência social ampla e emprego garantido por lei, e, às vezes, à custa de subsídios (na Europa defendido pela Social-Democracia), caminha-se para um Estado enxuto e ágil, onde a manutenção do progresso econômico e uma maior liberdade na conquista do mercado são as formas de assegurar ao cidadão o acesso ao bem-estar. Nem sempre a população concorda. Neste contexto, as eleições gerais na Alemanha, em 1998, poderão levar </w:t>
      </w:r>
      <w:proofErr w:type="spellStart"/>
      <w:r w:rsidRPr="00912EBB">
        <w:rPr>
          <w:rFonts w:eastAsia="Times New Roman" w:cs="Times New Roman"/>
          <w:kern w:val="0"/>
          <w:lang w:eastAsia="pt-BR"/>
          <w14:ligatures w14:val="none"/>
        </w:rPr>
        <w:t>Helmuth</w:t>
      </w:r>
      <w:proofErr w:type="spellEnd"/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Kohl, com longa e frutuosa carreira à frente daquele país, a entregar o posto ao social-democrata Gerhard Schroeder. O desemprego na Alemanha atinge seu ponto máximo. A moeda única </w:t>
      </w:r>
      <w:r w:rsidR="00F97B76" w:rsidRPr="00912EBB">
        <w:rPr>
          <w:rFonts w:eastAsia="Times New Roman" w:cs="Times New Roman"/>
          <w:kern w:val="0"/>
          <w:lang w:eastAsia="pt-BR"/>
          <w14:ligatures w14:val="none"/>
        </w:rPr>
        <w:t>europeia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será o fim do Marco Alemão. A imagem de </w:t>
      </w:r>
      <w:proofErr w:type="spellStart"/>
      <w:r w:rsidRPr="00912EBB">
        <w:rPr>
          <w:rFonts w:eastAsia="Times New Roman" w:cs="Times New Roman"/>
          <w:kern w:val="0"/>
          <w:lang w:eastAsia="pt-BR"/>
          <w14:ligatures w14:val="none"/>
        </w:rPr>
        <w:t>Helmuth</w:t>
      </w:r>
      <w:proofErr w:type="spellEnd"/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Kohl começa a desvanecer-se. Conseguirá vencer este ano? Seja como for, ele luta. Mas recebeu um novo e tremendo golpe: o Partido Liberal (FDP) deixou Kohl. O secretário Geral do FDP, Guido </w:t>
      </w:r>
      <w:proofErr w:type="spellStart"/>
      <w:r w:rsidRPr="00912EBB">
        <w:rPr>
          <w:rFonts w:eastAsia="Times New Roman" w:cs="Times New Roman"/>
          <w:kern w:val="0"/>
          <w:lang w:eastAsia="pt-BR"/>
          <w14:ligatures w14:val="none"/>
        </w:rPr>
        <w:t>Westerwelle</w:t>
      </w:r>
      <w:proofErr w:type="spellEnd"/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declarou: Começou o fim da era Kohl! A Alemanha ajuda a concretizar o bloco econômico da União </w:t>
      </w:r>
      <w:r w:rsidR="00F97B76" w:rsidRPr="00912EBB">
        <w:rPr>
          <w:rFonts w:eastAsia="Times New Roman" w:cs="Times New Roman"/>
          <w:kern w:val="0"/>
          <w:lang w:eastAsia="pt-BR"/>
          <w14:ligatures w14:val="none"/>
        </w:rPr>
        <w:t>Europeia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>.</w:t>
      </w:r>
    </w:p>
    <w:p w14:paraId="7F4BDE46" w14:textId="77777777" w:rsidR="00912EBB" w:rsidRPr="00912EBB" w:rsidRDefault="00912EBB" w:rsidP="00C64999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A participação neste bloco implica a adoção de um sistema socioeconômico que:</w:t>
      </w:r>
    </w:p>
    <w:p w14:paraId="1C9B183F" w14:textId="6ECC36AE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dificulta a livre iniciativa econômica, inclusive das grandes empresas na Alemanha.</w:t>
      </w:r>
    </w:p>
    <w:p w14:paraId="04FDE343" w14:textId="16417DB6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ofereça mercado europeu mais restrito aos produtos e serviços alemães.</w:t>
      </w:r>
    </w:p>
    <w:p w14:paraId="1B042190" w14:textId="75D85E81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diminua as oportunidades de iniciativa econômica para os alemães em outros países e vice-versa.</w:t>
      </w:r>
    </w:p>
    <w:p w14:paraId="088848D7" w14:textId="17C58634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garanta o emprego, na Alemanha, pelo afastamento da concorrência de outros países da própria União Europeia.</w:t>
      </w:r>
    </w:p>
    <w:p w14:paraId="6F5F0412" w14:textId="23212832" w:rsidR="00912EBB" w:rsidRPr="00123FC7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123FC7">
        <w:rPr>
          <w:rFonts w:eastAsia="Times New Roman" w:cs="Times New Roman"/>
          <w:color w:val="A20000"/>
          <w:kern w:val="0"/>
          <w:lang w:eastAsia="pt-BR"/>
          <w14:ligatures w14:val="none"/>
        </w:rPr>
        <w:t>por meio da união de esforços com os países da União Europeia, permita à economia alemã concorrer em melhores condições com países de fora da União Europeia.</w:t>
      </w:r>
    </w:p>
    <w:p w14:paraId="209181C9" w14:textId="2B2C0793" w:rsidR="00912EBB" w:rsidRDefault="00912EBB" w:rsidP="00912EBB">
      <w:pPr>
        <w:jc w:val="both"/>
        <w:rPr>
          <w:rFonts w:ascii="Times New Roman" w:hAnsi="Times New Roman" w:cs="Times New Roman"/>
        </w:rPr>
      </w:pPr>
    </w:p>
    <w:p w14:paraId="6C5DFC52" w14:textId="4334C7E9" w:rsidR="00534CEE" w:rsidRPr="00302700" w:rsidRDefault="00302700" w:rsidP="00302700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A20000"/>
          <w:kern w:val="0"/>
          <w:lang w:eastAsia="pt-BR"/>
          <w14:ligatures w14:val="none"/>
        </w:rPr>
      </w:pPr>
      <w:r w:rsidRPr="00302700">
        <w:rPr>
          <w:rFonts w:cs="Times New Roman"/>
          <w:b/>
          <w:bCs/>
        </w:rPr>
        <w:t>Comentário:</w:t>
      </w:r>
      <w:r>
        <w:rPr>
          <w:rFonts w:cs="Times New Roman"/>
          <w:b/>
          <w:bCs/>
        </w:rPr>
        <w:t xml:space="preserve"> </w:t>
      </w:r>
      <w:r w:rsidR="00A54EC9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 xml:space="preserve">O principal propósito dos blocos econômicos é fortalecer o comércio entre os pares e </w:t>
      </w:r>
      <w:r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>competir melhor com os membros externos.</w:t>
      </w:r>
    </w:p>
    <w:p w14:paraId="2E3AE39D" w14:textId="77777777" w:rsidR="00534CEE" w:rsidRDefault="00534CEE" w:rsidP="00912EBB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82EFF65" w14:textId="6CA5C31B" w:rsidR="00912EBB" w:rsidRPr="00912EBB" w:rsidRDefault="00912EBB" w:rsidP="00912EBB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lastRenderedPageBreak/>
        <w:t>(Enem-2016)</w:t>
      </w:r>
    </w:p>
    <w:p w14:paraId="0E087713" w14:textId="7226D87A" w:rsidR="00912EBB" w:rsidRPr="00912EBB" w:rsidRDefault="00912EBB" w:rsidP="00912EBB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888888"/>
          <w:kern w:val="0"/>
          <w:sz w:val="24"/>
          <w:szCs w:val="24"/>
          <w:lang w:eastAsia="pt-BR"/>
          <w14:ligatures w14:val="none"/>
        </w:rPr>
      </w:pPr>
      <w:r w:rsidRPr="00912EBB">
        <w:rPr>
          <w:rFonts w:ascii="Roboto" w:eastAsia="Times New Roman" w:hAnsi="Roboto" w:cs="Times New Roman"/>
          <w:noProof/>
          <w:color w:val="888888"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051CFE0D" wp14:editId="574BBA4D">
            <wp:extent cx="2475230" cy="1617980"/>
            <wp:effectExtent l="0" t="0" r="1270" b="1270"/>
            <wp:docPr id="2012332612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32612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BBE9" w14:textId="77777777" w:rsidR="00912EBB" w:rsidRPr="00912EBB" w:rsidRDefault="00912EBB" w:rsidP="006861E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Dentro das atuais redes produtivas, o referido bloco apresenta composição estratégica por se tratar de um conjunto de países com</w:t>
      </w:r>
    </w:p>
    <w:p w14:paraId="4A51D9B2" w14:textId="7847BADA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elevado padrão social.</w:t>
      </w:r>
    </w:p>
    <w:p w14:paraId="41196BD6" w14:textId="3C40929C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sistema monetário integrado.</w:t>
      </w:r>
    </w:p>
    <w:p w14:paraId="074AD959" w14:textId="2AE77F21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alto desenvolvimento tecnológico.</w:t>
      </w:r>
    </w:p>
    <w:p w14:paraId="5D80CE52" w14:textId="2C655DEF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identidades culturais semelhantes.</w:t>
      </w:r>
    </w:p>
    <w:p w14:paraId="31781953" w14:textId="18D8B276" w:rsidR="00912EBB" w:rsidRPr="00F3599E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F3599E">
        <w:rPr>
          <w:rFonts w:eastAsia="Times New Roman" w:cs="Times New Roman"/>
          <w:color w:val="A20000"/>
          <w:kern w:val="0"/>
          <w:lang w:eastAsia="pt-BR"/>
          <w14:ligatures w14:val="none"/>
        </w:rPr>
        <w:t>vantagens locacionais complementares.</w:t>
      </w:r>
    </w:p>
    <w:p w14:paraId="6EC9A6C2" w14:textId="77777777" w:rsidR="003E48AD" w:rsidRDefault="003E48AD" w:rsidP="003E48AD">
      <w:pPr>
        <w:spacing w:after="0"/>
        <w:jc w:val="both"/>
        <w:rPr>
          <w:rFonts w:cs="Times New Roman"/>
          <w:color w:val="A20000"/>
        </w:rPr>
      </w:pPr>
    </w:p>
    <w:p w14:paraId="152C82DB" w14:textId="3DB62CB0" w:rsidR="00912EBB" w:rsidRPr="003E48AD" w:rsidRDefault="003E48AD" w:rsidP="003E48AD">
      <w:pPr>
        <w:spacing w:after="0"/>
        <w:jc w:val="both"/>
        <w:rPr>
          <w:rFonts w:cs="Times New Roman"/>
          <w:color w:val="A20000"/>
        </w:rPr>
      </w:pPr>
      <w:r w:rsidRPr="00302700">
        <w:rPr>
          <w:rFonts w:cs="Times New Roman"/>
          <w:b/>
          <w:bCs/>
        </w:rPr>
        <w:t>Comentário:</w:t>
      </w:r>
      <w:r w:rsidRPr="003E48AD">
        <w:rPr>
          <w:rFonts w:cs="Times New Roman"/>
          <w:color w:val="A20000"/>
        </w:rPr>
        <w:t xml:space="preserve"> </w:t>
      </w:r>
      <w:r w:rsidRPr="003E48AD">
        <w:rPr>
          <w:rFonts w:cs="Arial"/>
          <w:i/>
          <w:iCs/>
          <w:color w:val="A20000"/>
          <w:spacing w:val="-3"/>
          <w:shd w:val="clear" w:color="auto" w:fill="FFFFFF"/>
        </w:rPr>
        <w:t xml:space="preserve">A parceria </w:t>
      </w:r>
      <w:proofErr w:type="spellStart"/>
      <w:r w:rsidRPr="003E48AD">
        <w:rPr>
          <w:rFonts w:cs="Arial"/>
          <w:i/>
          <w:iCs/>
          <w:color w:val="A20000"/>
          <w:spacing w:val="-3"/>
          <w:shd w:val="clear" w:color="auto" w:fill="FFFFFF"/>
        </w:rPr>
        <w:t>transpacífica</w:t>
      </w:r>
      <w:proofErr w:type="spellEnd"/>
      <w:r w:rsidRPr="003E48AD">
        <w:rPr>
          <w:rFonts w:cs="Arial"/>
          <w:i/>
          <w:iCs/>
          <w:color w:val="A20000"/>
          <w:spacing w:val="-3"/>
          <w:shd w:val="clear" w:color="auto" w:fill="FFFFFF"/>
        </w:rPr>
        <w:t xml:space="preserve"> é um acordo comercial estabelecido entre doze países banhados pelo Oceano Pacífico, com o objetivo principal de promover o crescimento econômico e, nesse sentido, a composição estratégica leva em consideração as vantagens locacionais dos países membros.</w:t>
      </w:r>
    </w:p>
    <w:p w14:paraId="5544B032" w14:textId="77777777" w:rsidR="003E48AD" w:rsidRDefault="003E48AD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</w:p>
    <w:p w14:paraId="55CABDEE" w14:textId="26CE594D" w:rsidR="00912EBB" w:rsidRPr="00912EBB" w:rsidRDefault="00912EBB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(Enem-2023)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Produtores rurais europeus são antigos opositores de um grande acordo com o Mercosul. Na visão deles, existe um nítido risco de concorrência desleal, pois, na Europa, é preciso seguir regras mais rígidas de produção, o que encarece o processo. Assim, eles não conseguiriam competir com os preços, por exemplo, da carne brasileira e teriam seus negócios ameaçados. Por outro lado, o setor industrial europeu se mobiliza a favor do acordo, uma vez que as reduções de tarifas no comércio internacional dariam maior acesso ao mercado sul-americano. Um exemplo é o setor automotivo europeu, que prevê maior participação e concorrência nos países do Mercosul caso o acordo siga em frente. ROUBICEK, M. Como o risco ambiental afeta o acordo entre Mercosul e União Europeia. Disponível em: www.nexojornal.com.br. Acesso em: 25 out. 2021.</w:t>
      </w:r>
    </w:p>
    <w:p w14:paraId="5DE53132" w14:textId="77777777" w:rsidR="00912EBB" w:rsidRPr="00912EBB" w:rsidRDefault="00912EBB" w:rsidP="006861E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No contexto do acordo citado, os dois grupos econômicos europeus defendem, respectivamente, a</w:t>
      </w:r>
    </w:p>
    <w:p w14:paraId="3C9D2DEC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a) restrição dos fluxos migratórios e a maior atuação de sindicatos.</w:t>
      </w:r>
    </w:p>
    <w:p w14:paraId="74F779A4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b) ampliação das leis trabalhistas e a plena importação de manufaturados.</w:t>
      </w:r>
    </w:p>
    <w:p w14:paraId="550290A6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c) proteção das florestas nacionais e a ampla transferência de tecnologias.</w:t>
      </w:r>
    </w:p>
    <w:p w14:paraId="5E7404BF" w14:textId="08DDA5F3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ED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d) </w:t>
      </w: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manutenção das barreiras fitossanitárias e a livre circulação de mercadorias.</w:t>
      </w:r>
    </w:p>
    <w:p w14:paraId="23E7086D" w14:textId="3A341340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e) remoção dos entraves alfandegários e a melhor remuneração de empregados.</w:t>
      </w:r>
    </w:p>
    <w:p w14:paraId="209FFD17" w14:textId="5D90ABA0" w:rsidR="00912EBB" w:rsidRPr="000264DD" w:rsidRDefault="00912EBB" w:rsidP="006861E8">
      <w:pPr>
        <w:spacing w:after="0" w:line="240" w:lineRule="auto"/>
        <w:jc w:val="both"/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shd w:val="clear" w:color="auto" w:fill="FFFFFF"/>
          <w:lang w:eastAsia="pt-BR"/>
          <w14:ligatures w14:val="none"/>
        </w:rPr>
        <w:t> </w:t>
      </w:r>
      <w:r w:rsidR="000264DD" w:rsidRPr="00302700">
        <w:rPr>
          <w:rFonts w:eastAsia="Times New Roman" w:cs="Times New Roman"/>
          <w:b/>
          <w:bCs/>
          <w:kern w:val="0"/>
          <w:shd w:val="clear" w:color="auto" w:fill="FFFFFF"/>
          <w:lang w:eastAsia="pt-BR"/>
          <w14:ligatures w14:val="none"/>
        </w:rPr>
        <w:t>Comentário:</w:t>
      </w:r>
      <w:r w:rsidR="000264DD" w:rsidRPr="000264DD">
        <w:t xml:space="preserve"> </w:t>
      </w:r>
      <w:r w:rsidR="000264DD" w:rsidRPr="000264DD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>O texto evidencia a posição contraditória de dois setores econômicos na Europa em relação ao acordo entre a União Europeia e o Mercosul. Os agricultores europeus se opõem ao acordo, temendo perder mercado para os produtos agrícolas do Brasil e da Argentina. Em contrapartida, os setores industriais veem a livre circulação de mercadorias e a isenção de tarifas alfandegárias como uma oportunidade vantajosa para acessar o grande mercado sul-americano.</w:t>
      </w:r>
    </w:p>
    <w:p w14:paraId="4A3088E7" w14:textId="77777777" w:rsidR="000264DD" w:rsidRPr="00912EBB" w:rsidRDefault="000264DD" w:rsidP="006861E8">
      <w:pPr>
        <w:spacing w:after="0" w:line="240" w:lineRule="auto"/>
        <w:jc w:val="both"/>
        <w:rPr>
          <w:rFonts w:eastAsia="Times New Roman" w:cs="Times New Roman"/>
          <w:i/>
          <w:iCs/>
          <w:color w:val="A20000"/>
          <w:kern w:val="0"/>
          <w:lang w:eastAsia="pt-BR"/>
          <w14:ligatures w14:val="none"/>
        </w:rPr>
      </w:pPr>
    </w:p>
    <w:p w14:paraId="3B13C38F" w14:textId="77777777" w:rsidR="00D93471" w:rsidRDefault="00912EBB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(Enem</w:t>
      </w:r>
      <w:r w:rsidR="00F97B76">
        <w:rPr>
          <w:rFonts w:eastAsia="Times New Roman" w:cs="Times New Roman"/>
          <w:b/>
          <w:bCs/>
          <w:kern w:val="0"/>
          <w:lang w:eastAsia="pt-BR"/>
          <w14:ligatures w14:val="none"/>
        </w:rPr>
        <w:t>-</w:t>
      </w: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2012)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Na União Europeia, buscava-se coordenar políticas domésticas, primeiro no plano do carvão e do aço, e em seguida em várias áreas, inclusive infraestrutura e políticas sociais. E essa coordenação de ações estatais cresceu de tal maneira, que as políticas sociais e as macropolíticas passaram a ser coordenadas, para, finalmente, a própria política monetária vir a ser também objeto de coordenação com vistas à adoção de uma moeda única. </w:t>
      </w:r>
    </w:p>
    <w:p w14:paraId="34BD1859" w14:textId="731656FB" w:rsidR="00912EBB" w:rsidRPr="00912EBB" w:rsidRDefault="00912EBB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sz w:val="20"/>
          <w:szCs w:val="2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No Mercosul, em vez de haver legislações e instituições comuns e coordenação de políticas domésticas, adotam-se regras claras e confiáveis para garantir o relacionamento econômico entre esses países. </w:t>
      </w:r>
      <w:r w:rsidRPr="00912EBB">
        <w:rPr>
          <w:rFonts w:eastAsia="Times New Roman" w:cs="Times New Roman"/>
          <w:kern w:val="0"/>
          <w:sz w:val="20"/>
          <w:szCs w:val="20"/>
          <w:lang w:eastAsia="pt-BR"/>
          <w14:ligatures w14:val="none"/>
        </w:rPr>
        <w:t>ALBUQUERQUE, J. A. G. Relações internacionais</w:t>
      </w:r>
      <w:r w:rsidRPr="00912EBB">
        <w:rPr>
          <w:rFonts w:eastAsia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Pr="00912EBB">
        <w:rPr>
          <w:rFonts w:eastAsia="Times New Roman" w:cs="Times New Roman"/>
          <w:kern w:val="0"/>
          <w:sz w:val="20"/>
          <w:szCs w:val="20"/>
          <w:lang w:eastAsia="pt-BR"/>
          <w14:ligatures w14:val="none"/>
        </w:rPr>
        <w:t>contemporâneas: a ordem mundial depois da Guerra Fria. Petrópolis: Vozes, 2007 (adaptado).</w:t>
      </w:r>
    </w:p>
    <w:p w14:paraId="555BE2A0" w14:textId="77777777" w:rsidR="00912EBB" w:rsidRPr="00912EBB" w:rsidRDefault="00912EBB" w:rsidP="00A77CBE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Os aspectos destacados no texto que diferenciam os estágios dos processos de integração da União Europeia e do Mercosul são, respectivamente:</w:t>
      </w:r>
    </w:p>
    <w:p w14:paraId="4111FB3A" w14:textId="51BC31BE" w:rsidR="00912EBB" w:rsidRPr="00912EBB" w:rsidRDefault="00912EBB" w:rsidP="00A77CBE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a) Consolidação da interdependência econômica − aproximação comercial entre os países.</w:t>
      </w:r>
    </w:p>
    <w:p w14:paraId="69DFB782" w14:textId="3BCD1885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b) Conjugação de políticas governamentais − enrijecimento do controle migratório.</w:t>
      </w:r>
    </w:p>
    <w:p w14:paraId="468FF574" w14:textId="46327FA2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c) Criação de inter-relações sociais − articulação de políticas nacionais.</w:t>
      </w:r>
    </w:p>
    <w:p w14:paraId="1BC84D51" w14:textId="5280859C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d) Composição de estratégias de comércio exterior − homogeneização das políticas cambiais.</w:t>
      </w:r>
    </w:p>
    <w:p w14:paraId="6E4ADEA9" w14:textId="2792A391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e) Reconfiguração de fronteiras internacionais − padronização das tarifas externas.</w:t>
      </w:r>
    </w:p>
    <w:p w14:paraId="0F681BDC" w14:textId="77777777" w:rsidR="003E48AD" w:rsidRDefault="003E48AD" w:rsidP="006861E8">
      <w:pPr>
        <w:jc w:val="both"/>
        <w:rPr>
          <w:rFonts w:cs="Times New Roman"/>
          <w:b/>
          <w:bCs/>
        </w:rPr>
      </w:pPr>
    </w:p>
    <w:p w14:paraId="0166C7BA" w14:textId="10DD2884" w:rsidR="00912EBB" w:rsidRPr="001D06EC" w:rsidRDefault="001D06EC" w:rsidP="006861E8">
      <w:pPr>
        <w:jc w:val="both"/>
        <w:rPr>
          <w:rFonts w:cs="Times New Roman"/>
          <w:i/>
          <w:iCs/>
          <w:color w:val="A20000"/>
        </w:rPr>
      </w:pPr>
      <w:r w:rsidRPr="001D06EC">
        <w:rPr>
          <w:rFonts w:cs="Times New Roman"/>
          <w:b/>
          <w:bCs/>
        </w:rPr>
        <w:t>Comentário:</w:t>
      </w:r>
      <w:r>
        <w:rPr>
          <w:rFonts w:cs="Times New Roman"/>
        </w:rPr>
        <w:t xml:space="preserve"> </w:t>
      </w:r>
      <w:r w:rsidRPr="001D06EC">
        <w:rPr>
          <w:rFonts w:cs="Times New Roman"/>
          <w:i/>
          <w:iCs/>
          <w:color w:val="A20000"/>
        </w:rPr>
        <w:t>No contexto da globalização, os países buscam criar agrupamentos que promovam as trocas entre si, os quais podem ter diferentes formatos e níveis de relacionamento. Assim, a questão discute a formação de um bloco econômico, a União Europeia, e de uma organização intergovernamental, o Mercosul. A União Europeia está ligada à consolidação da interdependência econômica, exemplificada pela criação da moeda única, o euro, enquanto o Mercosul está voltado para a aproximação comercial entre os países membros.</w:t>
      </w:r>
    </w:p>
    <w:p w14:paraId="35D50FF4" w14:textId="77777777" w:rsidR="00912EBB" w:rsidRPr="00912EBB" w:rsidRDefault="00912EBB" w:rsidP="006861E8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shd w:val="clear" w:color="auto" w:fill="F5FBF4"/>
          <w:lang w:eastAsia="pt-BR"/>
          <w14:ligatures w14:val="none"/>
        </w:rPr>
        <w:t> </w:t>
      </w:r>
    </w:p>
    <w:p w14:paraId="49D1C607" w14:textId="77777777" w:rsidR="00912EBB" w:rsidRPr="00912EBB" w:rsidRDefault="00912EBB" w:rsidP="005672EB">
      <w:pPr>
        <w:jc w:val="both"/>
        <w:rPr>
          <w:lang w:eastAsia="pt-BR"/>
        </w:rPr>
      </w:pPr>
      <w:r w:rsidRPr="00912EBB">
        <w:rPr>
          <w:b/>
          <w:bCs/>
          <w:lang w:eastAsia="pt-BR"/>
        </w:rPr>
        <w:t>(Enem 2010)</w:t>
      </w:r>
      <w:r w:rsidRPr="00912EBB">
        <w:rPr>
          <w:lang w:eastAsia="pt-BR"/>
        </w:rPr>
        <w:t xml:space="preserve"> O G-20 é o grupo que reúne os países do G-7, os mais industrializados do mundo (EUA, Japão, Alemanha, França, Reino Unido, Itália e Canadá), a União Europeia e os principais emergentes (Brasil, Rússia, Índia, China, África do Sul, Arábia Saudita, Argentina, Austrália, Coreia do Sul, Indonésia, México e Turquia). Esse grupo de países vem ganhando força nos fóruns internacionais de decisão e consulta. ALLAN, R. Crise global. Disponível em: http://conteudoclippingmp.planejamento.gov.br. Acesso em: 31 jul. 2010.</w:t>
      </w:r>
    </w:p>
    <w:p w14:paraId="0FA6D1D6" w14:textId="77777777" w:rsidR="00912EBB" w:rsidRPr="00912EBB" w:rsidRDefault="00912EBB" w:rsidP="005672EB">
      <w:pPr>
        <w:jc w:val="both"/>
        <w:rPr>
          <w:lang w:eastAsia="pt-BR"/>
        </w:rPr>
      </w:pPr>
      <w:r w:rsidRPr="00912EBB">
        <w:rPr>
          <w:lang w:eastAsia="pt-BR"/>
        </w:rPr>
        <w:lastRenderedPageBreak/>
        <w:t>Entre os países emergentes que formam o G-20, estão os chamados BRICS (Brasil, Rússia, Índia, China e África do Sul), termo criado em 2001 para referir-se aos países que</w:t>
      </w:r>
    </w:p>
    <w:p w14:paraId="0DCCC9AD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 a) apresentavam características econômicas promissoras para as décadas a partir dos anos 2000.</w:t>
      </w:r>
    </w:p>
    <w:p w14:paraId="0461978A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b) possuem base tecnológica mais elevada.</w:t>
      </w:r>
    </w:p>
    <w:p w14:paraId="2EFF4A9F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c) apresentavam índices de igualdade social e econômica mais acentuados.</w:t>
      </w:r>
    </w:p>
    <w:p w14:paraId="12DE862A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d) apresentavam diversidade ambiental suficiente para impulsionar a economia global.</w:t>
      </w:r>
    </w:p>
    <w:p w14:paraId="7DCDA8E9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e) possuem similaridades culturais capazes de alavancar a economia mundial.</w:t>
      </w:r>
    </w:p>
    <w:p w14:paraId="329EDBE9" w14:textId="0CFFC5FE" w:rsidR="00A40BB9" w:rsidRPr="00A40BB9" w:rsidRDefault="00A40BB9" w:rsidP="00A40BB9">
      <w:pPr>
        <w:jc w:val="both"/>
        <w:rPr>
          <w:rFonts w:cs="Times New Roman"/>
          <w:i/>
          <w:iCs/>
          <w:color w:val="A20000"/>
        </w:rPr>
      </w:pPr>
      <w:r w:rsidRPr="001228E0">
        <w:rPr>
          <w:rFonts w:cs="Times New Roman"/>
          <w:b/>
          <w:bCs/>
        </w:rPr>
        <w:t>Comentário:</w:t>
      </w:r>
      <w:r w:rsidRPr="00A40BB9">
        <w:t xml:space="preserve"> </w:t>
      </w:r>
      <w:r w:rsidRPr="00A40BB9">
        <w:rPr>
          <w:rFonts w:cs="Times New Roman"/>
          <w:i/>
          <w:iCs/>
          <w:color w:val="A20000"/>
        </w:rPr>
        <w:t xml:space="preserve">Embora a questão mencione o G-20, ela se concentra especificamente no bloco econômico dos BRICS. Esses países emergentes são caracterizados por uma grande concentração de renda, evidenciando uma significativa disparidade social entre a pobreza extrema e uma elite bem posicionada. Apesar de não apresentarem os melhores índices de IDH, possuem boa produtividade e taxas de crescimento consideráveis. O grupo conta com um banco de investimentos próprio, o New </w:t>
      </w:r>
      <w:proofErr w:type="spellStart"/>
      <w:r w:rsidRPr="00A40BB9">
        <w:rPr>
          <w:rFonts w:cs="Times New Roman"/>
          <w:i/>
          <w:iCs/>
          <w:color w:val="A20000"/>
        </w:rPr>
        <w:t>Development</w:t>
      </w:r>
      <w:proofErr w:type="spellEnd"/>
      <w:r w:rsidRPr="00A40BB9">
        <w:rPr>
          <w:rFonts w:cs="Times New Roman"/>
          <w:i/>
          <w:iCs/>
          <w:color w:val="A20000"/>
        </w:rPr>
        <w:t xml:space="preserve"> Bank (NDB), que busca se tornar uma alternativa de investimento em períodos de fragilidade dos países desenvolvidos.</w:t>
      </w:r>
    </w:p>
    <w:p w14:paraId="6D4C3FAD" w14:textId="73A318CE" w:rsidR="00912EBB" w:rsidRPr="00912EBB" w:rsidRDefault="00912EBB" w:rsidP="005672EB">
      <w:pPr>
        <w:jc w:val="both"/>
        <w:rPr>
          <w:sz w:val="20"/>
          <w:szCs w:val="20"/>
          <w:lang w:eastAsia="pt-BR"/>
        </w:rPr>
      </w:pP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(Enem</w:t>
      </w:r>
      <w:r w:rsidR="008C61D6" w:rsidRPr="008C61D6">
        <w:rPr>
          <w:rFonts w:eastAsia="Times New Roman" w:cs="Times New Roman"/>
          <w:b/>
          <w:bCs/>
          <w:kern w:val="0"/>
          <w:lang w:eastAsia="pt-BR"/>
          <w14:ligatures w14:val="none"/>
        </w:rPr>
        <w:t>-</w:t>
      </w: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2019)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Brasil, Alemanha, Japão e Índia pedem reforma do Conselho de Segurança Os </w:t>
      </w:r>
      <w:r w:rsidRPr="00912EBB">
        <w:rPr>
          <w:lang w:eastAsia="pt-BR"/>
        </w:rPr>
        <w:t xml:space="preserve">representantes do G4 (Brasil, Alemanha, Índia e Japão) reiteraram, em setembro de 2018, a defesa pela ampliação do Conselho de Segurança da Organização das Nações Unidas (ONU) durante reunião em Nova York (Estados Unidos). Em declaração conjunta, de dez itens, os chanceleres destacaram que o órgão, no formato em que está, com apenas cinco membros permanentes e dez rotativos, não reflete o século 21. “A reforma do Conselho de Segurança é essencial para enfrentar os desafios complexos de hoje. Como aspirantes a novos membros permanentes de um conselho reformado, os ministros reiteraram seu compromisso de trabalhar para fortalecer o funcionamento da ONU e da ordem multilateral global, bem como seu apoio às respectivas candidaturas”, afirma a declaração conjunta. </w:t>
      </w:r>
      <w:r w:rsidRPr="00912EBB">
        <w:rPr>
          <w:sz w:val="20"/>
          <w:szCs w:val="20"/>
          <w:lang w:eastAsia="pt-BR"/>
        </w:rPr>
        <w:t>Disponível em: http://agenciabrasil.ebc.com.br. Acesso em: 7 dez. 2018 (adaptado).</w:t>
      </w:r>
    </w:p>
    <w:p w14:paraId="2133BC1F" w14:textId="77777777" w:rsidR="00912EBB" w:rsidRDefault="00912EBB" w:rsidP="005672EB">
      <w:pPr>
        <w:jc w:val="both"/>
        <w:rPr>
          <w:lang w:eastAsia="pt-BR"/>
        </w:rPr>
      </w:pPr>
      <w:r w:rsidRPr="00912EBB">
        <w:rPr>
          <w:lang w:eastAsia="pt-BR"/>
        </w:rPr>
        <w:t>Os países mencionados no texto justificam sua pretensão com base na seguinte característica comum:</w:t>
      </w:r>
    </w:p>
    <w:p w14:paraId="2E8DF048" w14:textId="77777777" w:rsidR="00256A9E" w:rsidRDefault="00256A9E" w:rsidP="001228E0">
      <w:pPr>
        <w:jc w:val="both"/>
        <w:rPr>
          <w:b/>
          <w:bCs/>
          <w:lang w:eastAsia="pt-BR"/>
        </w:rPr>
      </w:pPr>
    </w:p>
    <w:p w14:paraId="3195A55C" w14:textId="059B36B2" w:rsidR="001228E0" w:rsidRPr="00912EBB" w:rsidRDefault="001228E0" w:rsidP="001228E0">
      <w:pPr>
        <w:jc w:val="both"/>
        <w:rPr>
          <w:i/>
          <w:iCs/>
          <w:color w:val="A20000"/>
          <w:lang w:eastAsia="pt-BR"/>
        </w:rPr>
      </w:pPr>
      <w:r w:rsidRPr="001228E0">
        <w:rPr>
          <w:b/>
          <w:bCs/>
          <w:lang w:eastAsia="pt-BR"/>
        </w:rPr>
        <w:t>Comentário:</w:t>
      </w:r>
      <w:r>
        <w:rPr>
          <w:lang w:eastAsia="pt-BR"/>
        </w:rPr>
        <w:t xml:space="preserve"> </w:t>
      </w:r>
      <w:r w:rsidRPr="001228E0">
        <w:rPr>
          <w:i/>
          <w:iCs/>
          <w:color w:val="A20000"/>
          <w:lang w:eastAsia="pt-BR"/>
        </w:rPr>
        <w:t xml:space="preserve">Brasil, Alemanha, Japão e Índia solicitam reforma do Conselho de </w:t>
      </w:r>
      <w:proofErr w:type="spellStart"/>
      <w:r w:rsidRPr="001228E0">
        <w:rPr>
          <w:i/>
          <w:iCs/>
          <w:color w:val="A20000"/>
          <w:lang w:eastAsia="pt-BR"/>
        </w:rPr>
        <w:t>Segurança</w:t>
      </w:r>
      <w:r w:rsidRPr="001228E0">
        <w:rPr>
          <w:i/>
          <w:iCs/>
          <w:color w:val="A20000"/>
          <w:lang w:eastAsia="pt-BR"/>
        </w:rPr>
        <w:t>.</w:t>
      </w:r>
      <w:r w:rsidRPr="001228E0">
        <w:rPr>
          <w:i/>
          <w:iCs/>
          <w:color w:val="A20000"/>
          <w:lang w:eastAsia="pt-BR"/>
        </w:rPr>
        <w:t>Em</w:t>
      </w:r>
      <w:proofErr w:type="spellEnd"/>
      <w:r w:rsidRPr="001228E0">
        <w:rPr>
          <w:i/>
          <w:iCs/>
          <w:color w:val="A20000"/>
          <w:lang w:eastAsia="pt-BR"/>
        </w:rPr>
        <w:t xml:space="preserve"> setembro de 2018, os representantes do G4 (Brasil, Alemanha, Índia e Japão) reafirmaram seu apoio à ampliação do Conselho de Segurança da Organização das Nações Unidas (ONU) durante uma reunião em Nova York.</w:t>
      </w:r>
    </w:p>
    <w:p w14:paraId="58C4B6DE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a) Extensividade de área territorial.</w:t>
      </w:r>
    </w:p>
    <w:p w14:paraId="0DA8590A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 b) Protagonismo em escala regional.</w:t>
      </w:r>
    </w:p>
    <w:p w14:paraId="0E6C87D0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c) Investimento em tecnologia militar.</w:t>
      </w:r>
    </w:p>
    <w:p w14:paraId="74A2EC5C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d) Desenvolvimento de energia nuclear.</w:t>
      </w:r>
    </w:p>
    <w:p w14:paraId="29526F4C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e) Disponibilidade de recursos minerais</w:t>
      </w:r>
    </w:p>
    <w:p w14:paraId="7A596633" w14:textId="77777777" w:rsidR="00007F90" w:rsidRDefault="00007F90" w:rsidP="008C61D6">
      <w:pPr>
        <w:jc w:val="both"/>
        <w:rPr>
          <w:b/>
          <w:bCs/>
          <w:lang w:eastAsia="pt-BR"/>
        </w:rPr>
      </w:pPr>
    </w:p>
    <w:p w14:paraId="17DE5D4D" w14:textId="45C38F33" w:rsidR="00912EBB" w:rsidRPr="00912EBB" w:rsidRDefault="00912EBB" w:rsidP="008C61D6">
      <w:pPr>
        <w:jc w:val="both"/>
        <w:rPr>
          <w:b/>
          <w:bCs/>
          <w:lang w:eastAsia="pt-BR"/>
        </w:rPr>
      </w:pPr>
      <w:r w:rsidRPr="00912EBB">
        <w:rPr>
          <w:b/>
          <w:bCs/>
          <w:lang w:eastAsia="pt-BR"/>
        </w:rPr>
        <w:t>(Enem</w:t>
      </w:r>
      <w:r w:rsidR="00007F90">
        <w:rPr>
          <w:b/>
          <w:bCs/>
          <w:lang w:eastAsia="pt-BR"/>
        </w:rPr>
        <w:t>-</w:t>
      </w:r>
      <w:r w:rsidRPr="00912EBB">
        <w:rPr>
          <w:b/>
          <w:bCs/>
          <w:lang w:eastAsia="pt-BR"/>
        </w:rPr>
        <w:t>2014)</w:t>
      </w:r>
    </w:p>
    <w:p w14:paraId="48AE1AD4" w14:textId="0FB8405E" w:rsidR="00912EBB" w:rsidRPr="00912EBB" w:rsidRDefault="00912EBB" w:rsidP="008C61D6">
      <w:pPr>
        <w:jc w:val="both"/>
        <w:rPr>
          <w:lang w:eastAsia="pt-BR"/>
        </w:rPr>
      </w:pPr>
      <w:r w:rsidRPr="008C61D6">
        <w:drawing>
          <wp:inline distT="0" distB="0" distL="0" distR="0" wp14:anchorId="213F63A4" wp14:editId="2A8A1085">
            <wp:extent cx="2475230" cy="1288415"/>
            <wp:effectExtent l="0" t="0" r="1270" b="6985"/>
            <wp:docPr id="141651937" name="Imagem 2" descr="Desenho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1937" name="Imagem 2" descr="Desenho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1845" w14:textId="77777777" w:rsidR="00912EBB" w:rsidRPr="00912EBB" w:rsidRDefault="00912EBB" w:rsidP="008C61D6">
      <w:pPr>
        <w:jc w:val="both"/>
        <w:rPr>
          <w:lang w:eastAsia="pt-BR"/>
        </w:rPr>
      </w:pPr>
      <w:r w:rsidRPr="00912EBB">
        <w:rPr>
          <w:lang w:eastAsia="pt-BR"/>
        </w:rPr>
        <w:t>Na imagem, é ressaltado, em tom mais escuro, um grupo de países que na atualidade possuem características político-econômicas comuns, no sentido de:</w:t>
      </w:r>
    </w:p>
    <w:p w14:paraId="1AD8066E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a) adotarem o liberalismo político na dinâmica dos seus setores públicos.</w:t>
      </w:r>
    </w:p>
    <w:p w14:paraId="6C7B6AFF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b) constituírem modelos de ações decisórias vinculadas à social-democracia.</w:t>
      </w:r>
    </w:p>
    <w:p w14:paraId="55C4ABF3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 c) instituírem fóruns de discussão sobre intercâmbio multilateral de economias emergentes.</w:t>
      </w:r>
    </w:p>
    <w:p w14:paraId="75057818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d) promoverem a integração representativa dos diversos povos integrantes de seus territórios.</w:t>
      </w:r>
    </w:p>
    <w:p w14:paraId="6DDD235B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e) apresentarem uma frente de desalinhamento político aos polos dominantes do sistema-mundo.</w:t>
      </w:r>
    </w:p>
    <w:p w14:paraId="357C88DC" w14:textId="77777777" w:rsidR="00256A9E" w:rsidRDefault="00256A9E" w:rsidP="00912EBB">
      <w:pPr>
        <w:jc w:val="both"/>
        <w:rPr>
          <w:rFonts w:cs="Times New Roman"/>
          <w:b/>
          <w:bCs/>
        </w:rPr>
      </w:pPr>
    </w:p>
    <w:p w14:paraId="5A744669" w14:textId="0082D045" w:rsidR="00007F90" w:rsidRPr="00302700" w:rsidRDefault="00A04B30" w:rsidP="00912EBB">
      <w:pPr>
        <w:jc w:val="both"/>
        <w:rPr>
          <w:rFonts w:cs="Times New Roman"/>
          <w:i/>
          <w:iCs/>
          <w:color w:val="A20000"/>
        </w:rPr>
      </w:pPr>
      <w:r w:rsidRPr="00302700">
        <w:rPr>
          <w:rFonts w:cs="Times New Roman"/>
          <w:b/>
          <w:bCs/>
        </w:rPr>
        <w:t xml:space="preserve">Comentário: </w:t>
      </w:r>
      <w:r w:rsidR="006E5EC9" w:rsidRPr="00302700">
        <w:rPr>
          <w:rFonts w:cs="Times New Roman"/>
          <w:i/>
          <w:iCs/>
          <w:color w:val="A20000"/>
        </w:rPr>
        <w:t>Para abordar a questão, é fundamental entender que os países mencionados são Brasil, Rússia, Índia, China e África do Sul, que compõem o BRICS. Este grupo é formado por nações com economias emergentes que se reúnem periodicamente em fóruns para estabelecer metas e firmar acordos entre si.</w:t>
      </w:r>
    </w:p>
    <w:p w14:paraId="46214D46" w14:textId="5F0CF533" w:rsidR="00007F90" w:rsidRDefault="008C61D6" w:rsidP="00912EBB">
      <w:pPr>
        <w:jc w:val="both"/>
      </w:pPr>
      <w:r w:rsidRPr="00007F90">
        <w:rPr>
          <w:rFonts w:cs="Times New Roman"/>
          <w:b/>
          <w:bCs/>
        </w:rPr>
        <w:t>(Enem-</w:t>
      </w:r>
      <w:r w:rsidR="00B24DB7" w:rsidRPr="00007F90">
        <w:rPr>
          <w:rFonts w:cs="Times New Roman"/>
          <w:b/>
          <w:bCs/>
        </w:rPr>
        <w:t>2022</w:t>
      </w:r>
      <w:r w:rsidRPr="00007F90">
        <w:rPr>
          <w:rFonts w:cs="Times New Roman"/>
          <w:b/>
          <w:bCs/>
        </w:rPr>
        <w:t>)</w:t>
      </w:r>
      <w:r w:rsidR="00007F90" w:rsidRPr="00007F90">
        <w:rPr>
          <w:rFonts w:cs="Times New Roman"/>
          <w:b/>
          <w:bCs/>
        </w:rPr>
        <w:t xml:space="preserve"> </w:t>
      </w:r>
      <w:r w:rsidR="00B24DB7" w:rsidRPr="00007F90">
        <w:t>U</w:t>
      </w:r>
      <w:r w:rsidR="00B24DB7">
        <w:t xml:space="preserve">ma nova economia surgiu em escala global no último quartel do século XX. Chamo-a de informacional, global e em rede para identificar suas características fundamentais e diferenciadas e enfatizar sua interligação. É informacional porque depende basicamente de sua capacidade de gerar, processar e aplicar de forma eficiente a informação baseada em conhecimentos. É global porque seus componentes estão organizados em escala global, diretamente ou mediante uma rede de conexões entre agentes econômicos. É rede porque é feita em uma rede global de interação entre redes empresariais. </w:t>
      </w:r>
      <w:r w:rsidR="00B24DB7" w:rsidRPr="00007F90">
        <w:rPr>
          <w:sz w:val="20"/>
          <w:szCs w:val="20"/>
        </w:rPr>
        <w:t>CASTELLS, M. A sociedade em rede — a era da informação: economia, sociedade e cultura. São Paulo: Paz e Terra, 1999 (adaptado).</w:t>
      </w:r>
      <w:r w:rsidR="00B24DB7">
        <w:t xml:space="preserve"> </w:t>
      </w:r>
    </w:p>
    <w:p w14:paraId="0423A59A" w14:textId="77777777" w:rsidR="00007F90" w:rsidRDefault="00B24DB7" w:rsidP="00912EBB">
      <w:pPr>
        <w:jc w:val="both"/>
      </w:pPr>
      <w:r>
        <w:t xml:space="preserve">Qual mudança estrutural é resultado da forma de organização econômica descrita no texto? </w:t>
      </w:r>
    </w:p>
    <w:p w14:paraId="72F812F4" w14:textId="26633274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Fabricação em série. </w:t>
      </w:r>
    </w:p>
    <w:p w14:paraId="2FE39F1D" w14:textId="1EED292B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Ampliação de estoques. </w:t>
      </w:r>
    </w:p>
    <w:p w14:paraId="42887093" w14:textId="4324C2E7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Fragilização dos cartéis. </w:t>
      </w:r>
    </w:p>
    <w:p w14:paraId="2E7E8C19" w14:textId="218CE11D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Padronização de mercadorias. </w:t>
      </w:r>
    </w:p>
    <w:p w14:paraId="0597416F" w14:textId="349D1D46" w:rsidR="00B24DB7" w:rsidRPr="00477D14" w:rsidRDefault="00B24DB7" w:rsidP="00007F9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color w:val="A20000"/>
        </w:rPr>
      </w:pPr>
      <w:r w:rsidRPr="006E5EC9">
        <w:rPr>
          <w:color w:val="A20000"/>
        </w:rPr>
        <w:t>Desterritorialização da produção</w:t>
      </w:r>
    </w:p>
    <w:p w14:paraId="3C8D5A96" w14:textId="77777777" w:rsidR="00477D14" w:rsidRDefault="00477D14" w:rsidP="00477D14">
      <w:pPr>
        <w:pStyle w:val="PargrafodaLista"/>
        <w:ind w:left="-142"/>
        <w:jc w:val="both"/>
        <w:rPr>
          <w:rFonts w:ascii="Times New Roman" w:hAnsi="Times New Roman" w:cs="Times New Roman"/>
          <w:color w:val="A20000"/>
        </w:rPr>
      </w:pPr>
    </w:p>
    <w:p w14:paraId="39DA0D32" w14:textId="4E4901F1" w:rsidR="00477D14" w:rsidRPr="00302700" w:rsidRDefault="00477D14" w:rsidP="00477D14">
      <w:pPr>
        <w:pStyle w:val="PargrafodaLista"/>
        <w:jc w:val="both"/>
        <w:rPr>
          <w:rFonts w:cs="Times New Roman"/>
          <w:i/>
          <w:iCs/>
          <w:color w:val="A20000"/>
        </w:rPr>
      </w:pPr>
      <w:r w:rsidRPr="00302700">
        <w:rPr>
          <w:rFonts w:cs="Times New Roman"/>
          <w:b/>
          <w:bCs/>
        </w:rPr>
        <w:t>Comentário:</w:t>
      </w:r>
      <w:r w:rsidRPr="00302700">
        <w:rPr>
          <w:i/>
          <w:iCs/>
        </w:rPr>
        <w:t xml:space="preserve"> </w:t>
      </w:r>
      <w:r w:rsidRPr="00302700">
        <w:rPr>
          <w:rFonts w:cs="Times New Roman"/>
          <w:i/>
          <w:iCs/>
          <w:color w:val="A20000"/>
        </w:rPr>
        <w:t>Para tratar da questão, é essencial reconhecer que os países citados são Brasil, Rússia, Índia, China e África do Sul, que juntos formam o BRICS. Este grupo é constituído por nações com economias emergentes que se reúnem regularmente em fóruns para definir metas e firmar acordos mútuos.</w:t>
      </w:r>
    </w:p>
    <w:sectPr w:rsidR="00477D14" w:rsidRPr="00302700" w:rsidSect="00534C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566" w:bottom="426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125A" w14:textId="77777777" w:rsidR="00007F90" w:rsidRDefault="00007F90" w:rsidP="00007F90">
      <w:pPr>
        <w:spacing w:after="0" w:line="240" w:lineRule="auto"/>
      </w:pPr>
      <w:r>
        <w:separator/>
      </w:r>
    </w:p>
  </w:endnote>
  <w:endnote w:type="continuationSeparator" w:id="0">
    <w:p w14:paraId="6C98CD9C" w14:textId="77777777" w:rsidR="00007F90" w:rsidRDefault="00007F90" w:rsidP="0000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4EBFB" w14:textId="77777777" w:rsidR="0080014E" w:rsidRDefault="008001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D42FD" w14:textId="77777777" w:rsidR="0080014E" w:rsidRDefault="008001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4A36" w14:textId="77777777" w:rsidR="0080014E" w:rsidRDefault="008001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502C" w14:textId="77777777" w:rsidR="00007F90" w:rsidRDefault="00007F90" w:rsidP="00007F90">
      <w:pPr>
        <w:spacing w:after="0" w:line="240" w:lineRule="auto"/>
      </w:pPr>
      <w:r>
        <w:separator/>
      </w:r>
    </w:p>
  </w:footnote>
  <w:footnote w:type="continuationSeparator" w:id="0">
    <w:p w14:paraId="46C629A9" w14:textId="77777777" w:rsidR="00007F90" w:rsidRDefault="00007F90" w:rsidP="0000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B339" w14:textId="77777777" w:rsidR="0080014E" w:rsidRDefault="008001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ED48" w14:textId="0E47C4B2" w:rsidR="00007F90" w:rsidRDefault="0080014E" w:rsidP="00443603">
    <w:pPr>
      <w:pStyle w:val="Cabealho"/>
      <w:jc w:val="center"/>
    </w:pPr>
    <w:r>
      <w:t>Lista de</w:t>
    </w:r>
    <w:r w:rsidR="00443603">
      <w:t xml:space="preserve"> </w:t>
    </w:r>
    <w:r>
      <w:t xml:space="preserve">exercícios </w:t>
    </w:r>
    <w:r w:rsidR="00443603">
      <w:t>Geografia – 3ºEM</w:t>
    </w:r>
    <w:r w:rsidR="00770FF3">
      <w:t xml:space="preserve"> </w:t>
    </w:r>
    <w:r>
      <w:t>–</w:t>
    </w:r>
    <w:r w:rsidR="00770FF3">
      <w:t xml:space="preserve"> </w:t>
    </w:r>
    <w:r>
      <w:t>Enem Organismos internacionais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C2F4" w14:textId="77777777" w:rsidR="0080014E" w:rsidRDefault="008001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A1D"/>
    <w:multiLevelType w:val="hybridMultilevel"/>
    <w:tmpl w:val="F06A98CC"/>
    <w:lvl w:ilvl="0" w:tplc="693235F8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73889"/>
    <w:multiLevelType w:val="hybridMultilevel"/>
    <w:tmpl w:val="FEFA8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9B3"/>
    <w:multiLevelType w:val="hybridMultilevel"/>
    <w:tmpl w:val="6CAA40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7E56"/>
    <w:multiLevelType w:val="hybridMultilevel"/>
    <w:tmpl w:val="BBA8C14A"/>
    <w:lvl w:ilvl="0" w:tplc="127800D8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0" w:hanging="360"/>
      </w:pPr>
    </w:lvl>
    <w:lvl w:ilvl="2" w:tplc="0416001B" w:tentative="1">
      <w:start w:val="1"/>
      <w:numFmt w:val="lowerRoman"/>
      <w:lvlText w:val="%3."/>
      <w:lvlJc w:val="right"/>
      <w:pPr>
        <w:ind w:left="1500" w:hanging="180"/>
      </w:pPr>
    </w:lvl>
    <w:lvl w:ilvl="3" w:tplc="0416000F" w:tentative="1">
      <w:start w:val="1"/>
      <w:numFmt w:val="decimal"/>
      <w:lvlText w:val="%4."/>
      <w:lvlJc w:val="left"/>
      <w:pPr>
        <w:ind w:left="2220" w:hanging="360"/>
      </w:pPr>
    </w:lvl>
    <w:lvl w:ilvl="4" w:tplc="04160019" w:tentative="1">
      <w:start w:val="1"/>
      <w:numFmt w:val="lowerLetter"/>
      <w:lvlText w:val="%5."/>
      <w:lvlJc w:val="left"/>
      <w:pPr>
        <w:ind w:left="2940" w:hanging="360"/>
      </w:pPr>
    </w:lvl>
    <w:lvl w:ilvl="5" w:tplc="0416001B" w:tentative="1">
      <w:start w:val="1"/>
      <w:numFmt w:val="lowerRoman"/>
      <w:lvlText w:val="%6."/>
      <w:lvlJc w:val="right"/>
      <w:pPr>
        <w:ind w:left="3660" w:hanging="180"/>
      </w:pPr>
    </w:lvl>
    <w:lvl w:ilvl="6" w:tplc="0416000F" w:tentative="1">
      <w:start w:val="1"/>
      <w:numFmt w:val="decimal"/>
      <w:lvlText w:val="%7."/>
      <w:lvlJc w:val="left"/>
      <w:pPr>
        <w:ind w:left="4380" w:hanging="360"/>
      </w:pPr>
    </w:lvl>
    <w:lvl w:ilvl="7" w:tplc="04160019" w:tentative="1">
      <w:start w:val="1"/>
      <w:numFmt w:val="lowerLetter"/>
      <w:lvlText w:val="%8."/>
      <w:lvlJc w:val="left"/>
      <w:pPr>
        <w:ind w:left="5100" w:hanging="360"/>
      </w:pPr>
    </w:lvl>
    <w:lvl w:ilvl="8" w:tplc="0416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 w15:restartNumberingAfterBreak="0">
    <w:nsid w:val="4C535C8B"/>
    <w:multiLevelType w:val="hybridMultilevel"/>
    <w:tmpl w:val="DD8AA16C"/>
    <w:lvl w:ilvl="0" w:tplc="3466777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E4486"/>
    <w:multiLevelType w:val="multilevel"/>
    <w:tmpl w:val="F908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622E3"/>
    <w:multiLevelType w:val="hybridMultilevel"/>
    <w:tmpl w:val="491E85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E4C1A"/>
    <w:multiLevelType w:val="hybridMultilevel"/>
    <w:tmpl w:val="181E9786"/>
    <w:lvl w:ilvl="0" w:tplc="6520F3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7164"/>
    <w:multiLevelType w:val="multilevel"/>
    <w:tmpl w:val="82CC3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D1152"/>
    <w:multiLevelType w:val="hybridMultilevel"/>
    <w:tmpl w:val="7406A4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4BA"/>
    <w:multiLevelType w:val="hybridMultilevel"/>
    <w:tmpl w:val="4EA0D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6292">
    <w:abstractNumId w:val="3"/>
  </w:num>
  <w:num w:numId="2" w16cid:durableId="547499480">
    <w:abstractNumId w:val="4"/>
  </w:num>
  <w:num w:numId="3" w16cid:durableId="1293904752">
    <w:abstractNumId w:val="1"/>
  </w:num>
  <w:num w:numId="4" w16cid:durableId="708992560">
    <w:abstractNumId w:val="0"/>
  </w:num>
  <w:num w:numId="5" w16cid:durableId="245192860">
    <w:abstractNumId w:val="5"/>
  </w:num>
  <w:num w:numId="6" w16cid:durableId="1250041792">
    <w:abstractNumId w:val="8"/>
  </w:num>
  <w:num w:numId="7" w16cid:durableId="531502857">
    <w:abstractNumId w:val="6"/>
  </w:num>
  <w:num w:numId="8" w16cid:durableId="236743669">
    <w:abstractNumId w:val="9"/>
  </w:num>
  <w:num w:numId="9" w16cid:durableId="1525556071">
    <w:abstractNumId w:val="10"/>
  </w:num>
  <w:num w:numId="10" w16cid:durableId="1361474234">
    <w:abstractNumId w:val="2"/>
  </w:num>
  <w:num w:numId="11" w16cid:durableId="176360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BB"/>
    <w:rsid w:val="00007F90"/>
    <w:rsid w:val="000264DD"/>
    <w:rsid w:val="000331FF"/>
    <w:rsid w:val="001228E0"/>
    <w:rsid w:val="00123FC7"/>
    <w:rsid w:val="00134E72"/>
    <w:rsid w:val="00176D3A"/>
    <w:rsid w:val="001D06EC"/>
    <w:rsid w:val="001F1B5D"/>
    <w:rsid w:val="00256A9E"/>
    <w:rsid w:val="00281F68"/>
    <w:rsid w:val="002F5E85"/>
    <w:rsid w:val="00302700"/>
    <w:rsid w:val="00363B44"/>
    <w:rsid w:val="003746A8"/>
    <w:rsid w:val="00374795"/>
    <w:rsid w:val="003A7604"/>
    <w:rsid w:val="003E48AD"/>
    <w:rsid w:val="00443603"/>
    <w:rsid w:val="00450978"/>
    <w:rsid w:val="00467693"/>
    <w:rsid w:val="00477D14"/>
    <w:rsid w:val="004F0882"/>
    <w:rsid w:val="0050322C"/>
    <w:rsid w:val="00534CEE"/>
    <w:rsid w:val="005672EB"/>
    <w:rsid w:val="006861E8"/>
    <w:rsid w:val="006E5EC9"/>
    <w:rsid w:val="006E7EB3"/>
    <w:rsid w:val="0073244B"/>
    <w:rsid w:val="00764134"/>
    <w:rsid w:val="00770FF3"/>
    <w:rsid w:val="007737EF"/>
    <w:rsid w:val="0080014E"/>
    <w:rsid w:val="00823276"/>
    <w:rsid w:val="008C61D6"/>
    <w:rsid w:val="00912EBB"/>
    <w:rsid w:val="00914AD1"/>
    <w:rsid w:val="009544EC"/>
    <w:rsid w:val="00973F46"/>
    <w:rsid w:val="00996376"/>
    <w:rsid w:val="00A04B30"/>
    <w:rsid w:val="00A40BB9"/>
    <w:rsid w:val="00A42B23"/>
    <w:rsid w:val="00A54EC9"/>
    <w:rsid w:val="00A77CBE"/>
    <w:rsid w:val="00AB080D"/>
    <w:rsid w:val="00AC6DEE"/>
    <w:rsid w:val="00AF2B40"/>
    <w:rsid w:val="00B24DB7"/>
    <w:rsid w:val="00BB1DFF"/>
    <w:rsid w:val="00C44E83"/>
    <w:rsid w:val="00C64999"/>
    <w:rsid w:val="00C85493"/>
    <w:rsid w:val="00D267D5"/>
    <w:rsid w:val="00D3224B"/>
    <w:rsid w:val="00D34B1A"/>
    <w:rsid w:val="00D43CEB"/>
    <w:rsid w:val="00D93471"/>
    <w:rsid w:val="00DB53D6"/>
    <w:rsid w:val="00DB76AD"/>
    <w:rsid w:val="00DB7773"/>
    <w:rsid w:val="00F3599E"/>
    <w:rsid w:val="00F97B76"/>
    <w:rsid w:val="00FA12DF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ABC9"/>
  <w15:chartTrackingRefBased/>
  <w15:docId w15:val="{0EA18288-64BB-4F8C-AC95-6E97A547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2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2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2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2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2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2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2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2E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2E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2E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2E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2E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2E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2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2E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2E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2E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2E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2EBB"/>
    <w:rPr>
      <w:b/>
      <w:bCs/>
      <w:smallCaps/>
      <w:color w:val="0F4761" w:themeColor="accent1" w:themeShade="BF"/>
      <w:spacing w:val="5"/>
    </w:rPr>
  </w:style>
  <w:style w:type="character" w:customStyle="1" w:styleId="mlwqmnquestionnumber">
    <w:name w:val="mlw_qmn_question_number"/>
    <w:basedOn w:val="Fontepargpadro"/>
    <w:rsid w:val="00912EBB"/>
  </w:style>
  <w:style w:type="paragraph" w:styleId="NormalWeb">
    <w:name w:val="Normal (Web)"/>
    <w:basedOn w:val="Normal"/>
    <w:uiPriority w:val="99"/>
    <w:semiHidden/>
    <w:unhideWhenUsed/>
    <w:rsid w:val="0091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0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F90"/>
  </w:style>
  <w:style w:type="paragraph" w:styleId="Rodap">
    <w:name w:val="footer"/>
    <w:basedOn w:val="Normal"/>
    <w:link w:val="RodapChar"/>
    <w:uiPriority w:val="99"/>
    <w:unhideWhenUsed/>
    <w:rsid w:val="0000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9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2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32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21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8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4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65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3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7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0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2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8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4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57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90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7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1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25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0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65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3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9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88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1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76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79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76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3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7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0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2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06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8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0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3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4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4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8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2966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4</cp:revision>
  <cp:lastPrinted>2024-07-12T12:03:00Z</cp:lastPrinted>
  <dcterms:created xsi:type="dcterms:W3CDTF">2024-07-12T12:52:00Z</dcterms:created>
  <dcterms:modified xsi:type="dcterms:W3CDTF">2024-07-12T12:54:00Z</dcterms:modified>
</cp:coreProperties>
</file>